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A10CD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F45FD0">
              <w:rPr>
                <w:rFonts w:ascii="仿宋_GB2312" w:eastAsia="仿宋_GB2312" w:hint="eastAsia"/>
                <w:bCs/>
                <w:sz w:val="32"/>
                <w:szCs w:val="32"/>
              </w:rPr>
              <w:t>放射治疗系统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</w:t>
            </w:r>
            <w:r w:rsidR="00E55B1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E55B1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55B1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F45FD0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放射治疗系统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93CBE" w:rsidP="00E55B1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  <w:r w:rsidR="00E55B1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F45FD0">
        <w:rPr>
          <w:rFonts w:ascii="仿宋_GB2312" w:hAnsi="仿宋_GB2312" w:cs="仿宋_GB2312" w:hint="eastAsia"/>
          <w:bCs/>
          <w:sz w:val="32"/>
          <w:szCs w:val="32"/>
        </w:rPr>
        <w:t>放射治疗系统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A10CD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F45FD0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放射治疗系统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1、设备采用环形机架结构，可支持加速器射束绕机架中心沿同一方向360度不间断连续旋转，机架最大旋转速率≥10RPM。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2、治疗模式：治疗中机架连续螺旋运动，射线从360°方向经超高速二元光栅调制后对肿瘤靶区实施照射。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3、治疗床运动模式：治疗过程中，治疗床搭载患者匀速步进运动。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 xml:space="preserve">4、机械等中心与辐射等中心精度≤0.25mm 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5、一次摆位长靶区照射单次治疗最大范围≥135cm X40cm。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6、机架内具备螺旋KVCT系统，可开展KVCT螺旋图像引导技术。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7、叶片驱动机制为气动式。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8、多叶光栅叶片数≥60片。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9、多叶准直器双叶片状态变换时间≤30ms。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10、机架孔径≥85cm。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11、电离室结构：独立双通道全封闭式。</w:t>
            </w:r>
          </w:p>
          <w:p w:rsidR="00FB0E5F" w:rsidRPr="00393CBE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12、治疗床最大负载≥200KG。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lastRenderedPageBreak/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lastRenderedPageBreak/>
        <w:t>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3A" w:rsidRDefault="00A11C3A" w:rsidP="00EC5835">
      <w:r>
        <w:separator/>
      </w:r>
    </w:p>
  </w:endnote>
  <w:endnote w:type="continuationSeparator" w:id="1">
    <w:p w:rsidR="00A11C3A" w:rsidRDefault="00A11C3A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3A" w:rsidRDefault="00A11C3A" w:rsidP="00EC5835">
      <w:r>
        <w:separator/>
      </w:r>
    </w:p>
  </w:footnote>
  <w:footnote w:type="continuationSeparator" w:id="1">
    <w:p w:rsidR="00A11C3A" w:rsidRDefault="00A11C3A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245</Words>
  <Characters>1401</Characters>
  <Application>Microsoft Office Word</Application>
  <DocSecurity>0</DocSecurity>
  <Lines>11</Lines>
  <Paragraphs>3</Paragraphs>
  <ScaleCrop>false</ScaleCrop>
  <Company>Sky123.Org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2026-04-20T09:02:00Z</cp:lastPrinted>
  <dcterms:created xsi:type="dcterms:W3CDTF">2026-04-27T02:32:00Z</dcterms:created>
  <dcterms:modified xsi:type="dcterms:W3CDTF">2026-04-27T03:20:00Z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