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25214">
      <w:pPr>
        <w:pStyle w:val="3"/>
        <w:jc w:val="center"/>
        <w:rPr>
          <w:rFonts w:hint="eastAsia" w:ascii="仿宋_GB2312" w:hAnsi="仿宋_GB2312" w:eastAsia="方正小标宋简体" w:cs="仿宋_GB2312"/>
          <w:b w:val="0"/>
          <w:kern w:val="2"/>
          <w:sz w:val="32"/>
          <w:szCs w:val="32"/>
          <w:lang w:eastAsia="zh-CN"/>
        </w:rPr>
      </w:pPr>
      <w:r>
        <w:rPr>
          <w:rFonts w:hint="eastAsia" w:ascii="方正小标宋简体" w:hAnsi="方正小标宋简体" w:eastAsia="方正小标宋简体" w:cs="方正小标宋简体"/>
          <w:b w:val="0"/>
          <w:kern w:val="2"/>
          <w:sz w:val="44"/>
          <w:szCs w:val="44"/>
          <w:lang w:val="en-US" w:eastAsia="zh-CN"/>
        </w:rPr>
        <w:t>福建省肿瘤医院采购</w:t>
      </w:r>
      <w:r>
        <w:rPr>
          <w:rFonts w:hint="eastAsia" w:ascii="方正小标宋简体" w:hAnsi="方正小标宋简体" w:eastAsia="方正小标宋简体" w:cs="方正小标宋简体"/>
          <w:b w:val="0"/>
          <w:kern w:val="2"/>
          <w:sz w:val="44"/>
          <w:szCs w:val="44"/>
        </w:rPr>
        <w:t>调研公</w:t>
      </w:r>
      <w:r>
        <w:rPr>
          <w:rFonts w:hint="eastAsia" w:ascii="方正小标宋简体" w:hAnsi="方正小标宋简体" w:eastAsia="方正小标宋简体" w:cs="方正小标宋简体"/>
          <w:b w:val="0"/>
          <w:kern w:val="2"/>
          <w:sz w:val="44"/>
          <w:szCs w:val="44"/>
          <w:lang w:val="en-US" w:eastAsia="zh-CN"/>
        </w:rPr>
        <w:t>告</w:t>
      </w:r>
    </w:p>
    <w:p w14:paraId="4852DB90">
      <w:pPr>
        <w:widowControl/>
        <w:shd w:val="clear" w:color="auto" w:fill="FFFFFF"/>
        <w:adjustRightInd w:val="0"/>
        <w:snapToGrid w:val="0"/>
        <w:spacing w:beforeLines="50" w:line="590" w:lineRule="exact"/>
        <w:jc w:val="center"/>
        <w:rPr>
          <w:rFonts w:ascii="仿宋" w:hAnsi="仿宋" w:eastAsia="仿宋" w:cs="仿宋_GB2312"/>
          <w:sz w:val="32"/>
          <w:szCs w:val="32"/>
        </w:rPr>
      </w:pPr>
      <w:r>
        <w:rPr>
          <w:rFonts w:hint="eastAsia" w:ascii="仿宋" w:hAnsi="仿宋" w:eastAsia="仿宋" w:cs="仿宋_GB2312"/>
          <w:b/>
          <w:color w:val="000000"/>
          <w:kern w:val="0"/>
          <w:sz w:val="32"/>
          <w:szCs w:val="32"/>
          <w:shd w:val="clear" w:color="auto" w:fill="FFFFFF"/>
        </w:rPr>
        <w:t>第一部分 须知前附表</w:t>
      </w:r>
    </w:p>
    <w:tbl>
      <w:tblPr>
        <w:tblStyle w:val="11"/>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201FDC1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BA76FA7">
            <w:pPr>
              <w:pStyle w:val="10"/>
              <w:widowControl/>
              <w:spacing w:line="360" w:lineRule="atLeast"/>
              <w:jc w:val="center"/>
              <w:rPr>
                <w:rFonts w:ascii="仿宋" w:hAnsi="仿宋" w:eastAsia="仿宋" w:cs="仿宋_GB2312"/>
                <w:sz w:val="32"/>
                <w:szCs w:val="32"/>
              </w:rPr>
            </w:pPr>
            <w:r>
              <w:rPr>
                <w:rFonts w:hint="eastAsia" w:ascii="仿宋" w:hAnsi="仿宋" w:eastAsia="仿宋"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0A1B5AA">
            <w:pPr>
              <w:widowControl/>
              <w:spacing w:line="315" w:lineRule="atLeast"/>
              <w:jc w:val="center"/>
              <w:rPr>
                <w:rFonts w:ascii="仿宋" w:hAnsi="仿宋" w:eastAsia="仿宋" w:cs="仿宋_GB2312"/>
                <w:sz w:val="32"/>
                <w:szCs w:val="32"/>
              </w:rPr>
            </w:pPr>
            <w:r>
              <w:rPr>
                <w:rFonts w:hint="eastAsia" w:ascii="仿宋" w:hAnsi="仿宋" w:eastAsia="仿宋" w:cs="仿宋_GB2312"/>
                <w:b/>
                <w:color w:val="000000"/>
                <w:kern w:val="0"/>
                <w:sz w:val="32"/>
                <w:szCs w:val="32"/>
              </w:rPr>
              <w:t>主　　　要　　　</w:t>
            </w:r>
            <w:r>
              <w:rPr>
                <w:rFonts w:eastAsia="仿宋" w:cs="Calibri"/>
                <w:b/>
                <w:color w:val="000000"/>
                <w:kern w:val="0"/>
                <w:sz w:val="32"/>
                <w:szCs w:val="32"/>
              </w:rPr>
              <w:t> </w:t>
            </w:r>
            <w:r>
              <w:rPr>
                <w:rFonts w:hint="eastAsia" w:ascii="仿宋" w:hAnsi="仿宋" w:eastAsia="仿宋" w:cs="仿宋_GB2312"/>
                <w:b/>
                <w:color w:val="000000"/>
                <w:kern w:val="0"/>
                <w:sz w:val="32"/>
                <w:szCs w:val="32"/>
              </w:rPr>
              <w:t>内　　　</w:t>
            </w:r>
            <w:r>
              <w:rPr>
                <w:rFonts w:eastAsia="仿宋" w:cs="Calibri"/>
                <w:b/>
                <w:color w:val="000000"/>
                <w:kern w:val="0"/>
                <w:sz w:val="32"/>
                <w:szCs w:val="32"/>
              </w:rPr>
              <w:t> </w:t>
            </w:r>
            <w:r>
              <w:rPr>
                <w:rFonts w:hint="eastAsia" w:ascii="仿宋" w:hAnsi="仿宋" w:eastAsia="仿宋" w:cs="仿宋_GB2312"/>
                <w:b/>
                <w:color w:val="000000"/>
                <w:kern w:val="0"/>
                <w:sz w:val="32"/>
                <w:szCs w:val="32"/>
              </w:rPr>
              <w:t>容</w:t>
            </w:r>
          </w:p>
        </w:tc>
      </w:tr>
      <w:tr w14:paraId="25B3D01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A4E9F00">
            <w:pPr>
              <w:widowControl/>
              <w:spacing w:line="315" w:lineRule="atLeas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F1A8CE4">
            <w:pPr>
              <w:widowControl/>
              <w:spacing w:line="315" w:lineRule="atLeas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项目名称：  肿瘤专业质量指标管理平台</w:t>
            </w:r>
          </w:p>
        </w:tc>
      </w:tr>
      <w:tr w14:paraId="60A342D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FFB1A60">
            <w:pPr>
              <w:widowControl/>
              <w:spacing w:line="315" w:lineRule="atLeast"/>
              <w:jc w:val="center"/>
              <w:rPr>
                <w:rFonts w:ascii="仿宋" w:hAnsi="仿宋" w:eastAsia="仿宋" w:cs="仿宋_GB2312"/>
                <w:sz w:val="32"/>
                <w:szCs w:val="32"/>
              </w:rPr>
            </w:pPr>
            <w:r>
              <w:rPr>
                <w:rFonts w:hint="eastAsia" w:ascii="仿宋" w:hAnsi="仿宋" w:eastAsia="仿宋"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E7FD9D">
            <w:pPr>
              <w:spacing w:before="150" w:line="560" w:lineRule="exact"/>
              <w:rPr>
                <w:rFonts w:hint="eastAsia" w:ascii="仿宋" w:hAnsi="仿宋" w:eastAsia="仿宋" w:cs="仿宋_GB2312"/>
                <w:color w:val="000000"/>
                <w:kern w:val="0"/>
                <w:sz w:val="32"/>
                <w:szCs w:val="32"/>
              </w:rPr>
            </w:pPr>
            <w:r>
              <w:rPr>
                <w:rFonts w:hint="eastAsia" w:ascii="仿宋" w:hAnsi="仿宋" w:eastAsia="仿宋" w:cs="仿宋_GB2312"/>
                <w:color w:val="000000"/>
                <w:kern w:val="0"/>
                <w:sz w:val="32"/>
                <w:szCs w:val="32"/>
              </w:rPr>
              <w:t xml:space="preserve">调研报名时间： </w:t>
            </w:r>
            <w:r>
              <w:rPr>
                <w:rFonts w:hint="eastAsia" w:ascii="仿宋" w:hAnsi="仿宋" w:eastAsia="仿宋" w:cs="仿宋_GB2312"/>
                <w:color w:val="000000"/>
                <w:kern w:val="0"/>
                <w:sz w:val="32"/>
                <w:szCs w:val="32"/>
                <w:lang w:eastAsia="zh-CN"/>
              </w:rPr>
              <w:t>2025</w:t>
            </w:r>
            <w:r>
              <w:rPr>
                <w:rFonts w:hint="eastAsia" w:ascii="仿宋" w:hAnsi="仿宋" w:eastAsia="仿宋" w:cs="仿宋_GB2312"/>
                <w:color w:val="000000"/>
                <w:kern w:val="0"/>
                <w:sz w:val="32"/>
                <w:szCs w:val="32"/>
              </w:rPr>
              <w:t xml:space="preserve"> 年</w:t>
            </w:r>
            <w:r>
              <w:rPr>
                <w:rFonts w:hint="eastAsia" w:ascii="仿宋" w:hAnsi="仿宋" w:eastAsia="仿宋" w:cs="仿宋_GB2312"/>
                <w:color w:val="000000"/>
                <w:kern w:val="0"/>
                <w:sz w:val="32"/>
                <w:szCs w:val="32"/>
                <w:lang w:val="en-US" w:eastAsia="zh-CN"/>
              </w:rPr>
              <w:t>4</w:t>
            </w:r>
            <w:r>
              <w:rPr>
                <w:rFonts w:hint="eastAsia" w:ascii="仿宋" w:hAnsi="仿宋" w:eastAsia="仿宋" w:cs="仿宋_GB2312"/>
                <w:color w:val="000000"/>
                <w:kern w:val="0"/>
                <w:sz w:val="32"/>
                <w:szCs w:val="32"/>
              </w:rPr>
              <w:t xml:space="preserve">月 </w:t>
            </w:r>
            <w:r>
              <w:rPr>
                <w:rFonts w:hint="eastAsia" w:ascii="仿宋" w:hAnsi="仿宋" w:eastAsia="仿宋" w:cs="仿宋_GB2312"/>
                <w:color w:val="000000"/>
                <w:kern w:val="0"/>
                <w:sz w:val="32"/>
                <w:szCs w:val="32"/>
                <w:lang w:val="en-US" w:eastAsia="zh-CN"/>
              </w:rPr>
              <w:t>21</w:t>
            </w:r>
            <w:r>
              <w:rPr>
                <w:rFonts w:hint="eastAsia" w:ascii="仿宋" w:hAnsi="仿宋" w:eastAsia="仿宋" w:cs="仿宋_GB2312"/>
                <w:color w:val="000000"/>
                <w:kern w:val="0"/>
                <w:sz w:val="32"/>
                <w:szCs w:val="32"/>
              </w:rPr>
              <w:t xml:space="preserve">日至 </w:t>
            </w:r>
            <w:r>
              <w:rPr>
                <w:rFonts w:hint="eastAsia" w:ascii="仿宋" w:hAnsi="仿宋" w:eastAsia="仿宋" w:cs="仿宋_GB2312"/>
                <w:color w:val="000000"/>
                <w:kern w:val="0"/>
                <w:sz w:val="32"/>
                <w:szCs w:val="32"/>
                <w:lang w:val="en-US" w:eastAsia="zh-CN"/>
              </w:rPr>
              <w:t>4</w:t>
            </w:r>
            <w:r>
              <w:rPr>
                <w:rFonts w:hint="eastAsia" w:ascii="仿宋" w:hAnsi="仿宋" w:eastAsia="仿宋" w:cs="仿宋_GB2312"/>
                <w:color w:val="000000"/>
                <w:kern w:val="0"/>
                <w:sz w:val="32"/>
                <w:szCs w:val="32"/>
              </w:rPr>
              <w:t>月</w:t>
            </w:r>
            <w:r>
              <w:rPr>
                <w:rFonts w:hint="eastAsia" w:ascii="仿宋" w:hAnsi="仿宋" w:eastAsia="仿宋" w:cs="仿宋_GB2312"/>
                <w:color w:val="000000"/>
                <w:kern w:val="0"/>
                <w:sz w:val="32"/>
                <w:szCs w:val="32"/>
                <w:lang w:val="en-US" w:eastAsia="zh-CN"/>
              </w:rPr>
              <w:t>28</w:t>
            </w:r>
            <w:r>
              <w:rPr>
                <w:rFonts w:hint="eastAsia" w:ascii="仿宋" w:hAnsi="仿宋" w:eastAsia="仿宋" w:cs="仿宋_GB2312"/>
                <w:color w:val="000000"/>
                <w:kern w:val="0"/>
                <w:sz w:val="32"/>
                <w:szCs w:val="32"/>
              </w:rPr>
              <w:t>日 (节假日除外)8：00-12：00或14：00-17：00(北京时间）</w:t>
            </w:r>
          </w:p>
          <w:p w14:paraId="491C87F7">
            <w:pPr>
              <w:spacing w:before="150" w:line="560" w:lineRule="exact"/>
              <w:rPr>
                <w:rFonts w:ascii="仿宋" w:hAnsi="仿宋" w:eastAsia="仿宋" w:cs="仿宋_GB2312"/>
                <w:color w:val="000000"/>
                <w:kern w:val="0"/>
                <w:sz w:val="32"/>
                <w:szCs w:val="32"/>
                <w:u w:val="single"/>
              </w:rPr>
            </w:pPr>
            <w:r>
              <w:rPr>
                <w:rFonts w:hint="eastAsia" w:ascii="仿宋" w:hAnsi="仿宋" w:eastAsia="仿宋" w:cs="仿宋_GB2312"/>
                <w:color w:val="000000"/>
                <w:kern w:val="0"/>
                <w:sz w:val="32"/>
                <w:szCs w:val="32"/>
              </w:rPr>
              <w:t xml:space="preserve">调研会时间： </w:t>
            </w:r>
            <w:r>
              <w:rPr>
                <w:rFonts w:hint="eastAsia" w:ascii="仿宋" w:hAnsi="仿宋" w:eastAsia="仿宋" w:cs="仿宋_GB2312"/>
                <w:color w:val="000000"/>
                <w:kern w:val="0"/>
                <w:sz w:val="32"/>
                <w:szCs w:val="32"/>
                <w:lang w:eastAsia="zh-CN"/>
              </w:rPr>
              <w:t>2025</w:t>
            </w:r>
            <w:r>
              <w:rPr>
                <w:rFonts w:hint="eastAsia" w:ascii="仿宋" w:hAnsi="仿宋" w:eastAsia="仿宋" w:cs="仿宋_GB2312"/>
                <w:color w:val="000000"/>
                <w:kern w:val="0"/>
                <w:sz w:val="32"/>
                <w:szCs w:val="32"/>
              </w:rPr>
              <w:t xml:space="preserve"> 年 </w:t>
            </w:r>
            <w:r>
              <w:rPr>
                <w:rFonts w:hint="eastAsia" w:ascii="仿宋" w:hAnsi="仿宋" w:eastAsia="仿宋" w:cs="仿宋_GB2312"/>
                <w:color w:val="000000"/>
                <w:kern w:val="0"/>
                <w:sz w:val="32"/>
                <w:szCs w:val="32"/>
                <w:lang w:val="en-US" w:eastAsia="zh-CN"/>
              </w:rPr>
              <w:t>4</w:t>
            </w:r>
            <w:r>
              <w:rPr>
                <w:rFonts w:hint="eastAsia" w:ascii="仿宋" w:hAnsi="仿宋" w:eastAsia="仿宋" w:cs="仿宋_GB2312"/>
                <w:color w:val="000000"/>
                <w:kern w:val="0"/>
                <w:sz w:val="32"/>
                <w:szCs w:val="32"/>
              </w:rPr>
              <w:t xml:space="preserve">月 </w:t>
            </w:r>
            <w:r>
              <w:rPr>
                <w:rFonts w:hint="eastAsia" w:ascii="仿宋" w:hAnsi="仿宋" w:eastAsia="仿宋" w:cs="仿宋_GB2312"/>
                <w:color w:val="000000"/>
                <w:kern w:val="0"/>
                <w:sz w:val="32"/>
                <w:szCs w:val="32"/>
                <w:lang w:val="en-US" w:eastAsia="zh-CN"/>
              </w:rPr>
              <w:t>30</w:t>
            </w:r>
            <w:r>
              <w:rPr>
                <w:rFonts w:hint="eastAsia" w:ascii="仿宋" w:hAnsi="仿宋" w:eastAsia="仿宋" w:cs="仿宋_GB2312"/>
                <w:color w:val="000000"/>
                <w:kern w:val="0"/>
                <w:sz w:val="32"/>
                <w:szCs w:val="32"/>
              </w:rPr>
              <w:t>日 9:00</w:t>
            </w:r>
          </w:p>
        </w:tc>
      </w:tr>
      <w:tr w14:paraId="408FC75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B406199">
            <w:pPr>
              <w:widowControl/>
              <w:spacing w:line="315" w:lineRule="atLeast"/>
              <w:jc w:val="center"/>
              <w:rPr>
                <w:rFonts w:ascii="仿宋" w:hAnsi="仿宋" w:eastAsia="仿宋" w:cs="仿宋_GB2312"/>
                <w:sz w:val="32"/>
                <w:szCs w:val="32"/>
              </w:rPr>
            </w:pPr>
            <w:r>
              <w:rPr>
                <w:rFonts w:hint="eastAsia" w:ascii="仿宋" w:hAnsi="仿宋" w:eastAsia="仿宋"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62F5466">
            <w:pPr>
              <w:widowControl/>
              <w:spacing w:line="315" w:lineRule="atLeast"/>
              <w:rPr>
                <w:rFonts w:ascii="仿宋" w:hAnsi="仿宋" w:eastAsia="仿宋" w:cs="仿宋_GB2312"/>
                <w:sz w:val="32"/>
                <w:szCs w:val="32"/>
              </w:rPr>
            </w:pPr>
            <w:r>
              <w:rPr>
                <w:rFonts w:hint="eastAsia" w:ascii="仿宋" w:hAnsi="仿宋" w:eastAsia="仿宋" w:cs="仿宋_GB2312"/>
                <w:color w:val="000000"/>
                <w:sz w:val="32"/>
                <w:szCs w:val="32"/>
              </w:rPr>
              <w:t>文件正本</w:t>
            </w:r>
            <w:r>
              <w:rPr>
                <w:rFonts w:hint="eastAsia" w:ascii="仿宋" w:hAnsi="仿宋" w:eastAsia="仿宋" w:cs="仿宋_GB2312"/>
                <w:bCs/>
                <w:color w:val="000000"/>
                <w:sz w:val="32"/>
                <w:szCs w:val="32"/>
                <w:u w:val="single"/>
              </w:rPr>
              <w:t>壹</w:t>
            </w:r>
            <w:r>
              <w:rPr>
                <w:rFonts w:hint="eastAsia" w:ascii="仿宋" w:hAnsi="仿宋" w:eastAsia="仿宋" w:cs="仿宋_GB2312"/>
                <w:color w:val="000000"/>
                <w:sz w:val="32"/>
                <w:szCs w:val="32"/>
              </w:rPr>
              <w:t>份,副本</w:t>
            </w:r>
            <w:r>
              <w:rPr>
                <w:rFonts w:hint="eastAsia" w:ascii="仿宋" w:hAnsi="仿宋" w:eastAsia="仿宋" w:cs="仿宋_GB2312"/>
                <w:bCs/>
                <w:color w:val="000000"/>
                <w:sz w:val="32"/>
                <w:szCs w:val="32"/>
                <w:u w:val="single"/>
              </w:rPr>
              <w:t>壹</w:t>
            </w:r>
            <w:r>
              <w:rPr>
                <w:rFonts w:hint="eastAsia" w:ascii="仿宋" w:hAnsi="仿宋" w:eastAsia="仿宋" w:cs="仿宋_GB2312"/>
                <w:color w:val="000000"/>
                <w:sz w:val="32"/>
                <w:szCs w:val="32"/>
              </w:rPr>
              <w:t>份胶装并密封加盖投标人公章。文件未胶装将视为无效。</w:t>
            </w:r>
          </w:p>
        </w:tc>
      </w:tr>
      <w:tr w14:paraId="76121B5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F9D8076">
            <w:pPr>
              <w:widowControl/>
              <w:spacing w:line="315" w:lineRule="atLeast"/>
              <w:jc w:val="center"/>
              <w:rPr>
                <w:rFonts w:ascii="仿宋" w:hAnsi="仿宋" w:eastAsia="仿宋" w:cs="仿宋_GB2312"/>
                <w:sz w:val="32"/>
                <w:szCs w:val="32"/>
              </w:rPr>
            </w:pPr>
            <w:r>
              <w:rPr>
                <w:rFonts w:hint="eastAsia" w:ascii="仿宋" w:hAnsi="仿宋" w:eastAsia="仿宋"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0649C34">
            <w:pPr>
              <w:widowControl/>
              <w:spacing w:line="315" w:lineRule="atLeast"/>
              <w:rPr>
                <w:rFonts w:ascii="仿宋" w:hAnsi="仿宋" w:eastAsia="仿宋" w:cs="仿宋_GB2312"/>
                <w:sz w:val="32"/>
                <w:szCs w:val="32"/>
              </w:rPr>
            </w:pPr>
            <w:r>
              <w:rPr>
                <w:rFonts w:hint="eastAsia" w:ascii="仿宋" w:hAnsi="仿宋" w:eastAsia="仿宋" w:cs="仿宋_GB2312"/>
                <w:color w:val="000000"/>
                <w:kern w:val="0"/>
                <w:sz w:val="32"/>
                <w:szCs w:val="32"/>
              </w:rPr>
              <w:t>文件递交处：福建省肿瘤医院网络技术中心</w:t>
            </w:r>
          </w:p>
        </w:tc>
      </w:tr>
      <w:tr w14:paraId="4E54700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9A1C53D">
            <w:pPr>
              <w:widowControl/>
              <w:spacing w:line="315" w:lineRule="atLeast"/>
              <w:jc w:val="center"/>
              <w:rPr>
                <w:rFonts w:ascii="仿宋" w:hAnsi="仿宋" w:eastAsia="仿宋" w:cs="仿宋_GB2312"/>
                <w:sz w:val="32"/>
                <w:szCs w:val="32"/>
              </w:rPr>
            </w:pPr>
            <w:r>
              <w:rPr>
                <w:rFonts w:hint="eastAsia" w:ascii="仿宋" w:hAnsi="仿宋" w:eastAsia="仿宋"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041881C">
            <w:pPr>
              <w:widowControl/>
              <w:spacing w:line="315" w:lineRule="atLeast"/>
              <w:rPr>
                <w:rFonts w:ascii="仿宋" w:hAnsi="仿宋" w:eastAsia="仿宋" w:cs="仿宋_GB2312"/>
                <w:sz w:val="32"/>
                <w:szCs w:val="32"/>
              </w:rPr>
            </w:pPr>
            <w:r>
              <w:rPr>
                <w:rFonts w:hint="eastAsia" w:ascii="仿宋" w:hAnsi="仿宋" w:eastAsia="仿宋" w:cs="仿宋_GB2312"/>
                <w:color w:val="000000"/>
                <w:kern w:val="0"/>
                <w:sz w:val="32"/>
                <w:szCs w:val="32"/>
              </w:rPr>
              <w:t>上述时间、地点如有变动，以单位届时通知为准。</w:t>
            </w:r>
          </w:p>
        </w:tc>
      </w:tr>
      <w:tr w14:paraId="225B0B9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B41EC6A">
            <w:pPr>
              <w:widowControl/>
              <w:spacing w:line="315" w:lineRule="atLeast"/>
              <w:jc w:val="center"/>
              <w:rPr>
                <w:rFonts w:ascii="仿宋" w:hAnsi="仿宋" w:eastAsia="仿宋" w:cs="仿宋_GB2312"/>
                <w:sz w:val="32"/>
                <w:szCs w:val="32"/>
              </w:rPr>
            </w:pPr>
            <w:r>
              <w:rPr>
                <w:rFonts w:hint="eastAsia" w:ascii="仿宋" w:hAnsi="仿宋" w:eastAsia="仿宋"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E921786">
            <w:pPr>
              <w:widowControl/>
              <w:shd w:val="clear" w:color="auto" w:fill="FFFFFF"/>
              <w:adjustRightInd w:val="0"/>
              <w:snapToGrid w:val="0"/>
              <w:rPr>
                <w:rFonts w:ascii="仿宋" w:hAnsi="仿宋" w:eastAsia="仿宋" w:cs="仿宋_GB2312"/>
                <w:sz w:val="32"/>
                <w:szCs w:val="32"/>
              </w:rPr>
            </w:pPr>
            <w:r>
              <w:rPr>
                <w:rFonts w:hint="eastAsia" w:ascii="仿宋" w:hAnsi="仿宋" w:eastAsia="仿宋" w:cs="仿宋_GB2312"/>
                <w:bCs/>
                <w:color w:val="000000"/>
                <w:kern w:val="0"/>
                <w:sz w:val="32"/>
                <w:szCs w:val="32"/>
                <w:shd w:val="clear" w:color="auto" w:fill="FFFFFF"/>
              </w:rPr>
              <w:t>采购报名、采购调研等采购过程中有任何异议，可联系我院监督科室。电话：83660063-8407；83660063-8467。</w:t>
            </w:r>
          </w:p>
        </w:tc>
      </w:tr>
    </w:tbl>
    <w:p w14:paraId="1171FB07">
      <w:pPr>
        <w:widowControl/>
        <w:shd w:val="clear" w:color="auto" w:fill="FFFFFF"/>
        <w:spacing w:line="336" w:lineRule="auto"/>
        <w:rPr>
          <w:rFonts w:ascii="仿宋" w:hAnsi="仿宋" w:eastAsia="仿宋" w:cs="仿宋_GB2312"/>
          <w:bCs/>
          <w:color w:val="000000"/>
          <w:kern w:val="0"/>
          <w:sz w:val="32"/>
          <w:szCs w:val="32"/>
          <w:shd w:val="clear" w:color="auto" w:fill="FFFFFF"/>
        </w:rPr>
      </w:pPr>
    </w:p>
    <w:p w14:paraId="25C9C7D5">
      <w:pPr>
        <w:widowControl/>
        <w:shd w:val="clear" w:color="auto" w:fill="FFFFFF"/>
        <w:spacing w:line="336" w:lineRule="auto"/>
        <w:rPr>
          <w:rFonts w:ascii="仿宋" w:hAnsi="仿宋" w:eastAsia="仿宋" w:cs="仿宋_GB2312"/>
          <w:bCs/>
          <w:color w:val="000000"/>
          <w:kern w:val="0"/>
          <w:sz w:val="32"/>
          <w:szCs w:val="32"/>
          <w:shd w:val="clear" w:color="auto" w:fill="FFFFFF"/>
        </w:rPr>
      </w:pPr>
      <w:r>
        <w:rPr>
          <w:rFonts w:hint="eastAsia" w:ascii="仿宋" w:hAnsi="仿宋" w:eastAsia="仿宋" w:cs="仿宋_GB2312"/>
          <w:bCs/>
          <w:color w:val="000000"/>
          <w:kern w:val="0"/>
          <w:sz w:val="32"/>
          <w:szCs w:val="32"/>
          <w:shd w:val="clear" w:color="auto" w:fill="FFFFFF"/>
        </w:rPr>
        <w:t xml:space="preserve">地　址： 福建省福州市福马路420号 </w:t>
      </w:r>
    </w:p>
    <w:p w14:paraId="1F460570">
      <w:pPr>
        <w:widowControl/>
        <w:shd w:val="clear" w:color="auto" w:fill="FFFFFF"/>
        <w:spacing w:line="336" w:lineRule="auto"/>
        <w:ind w:left="1260" w:firstLine="420"/>
        <w:rPr>
          <w:rFonts w:ascii="仿宋" w:hAnsi="仿宋" w:eastAsia="仿宋" w:cs="仿宋_GB2312"/>
          <w:bCs/>
          <w:sz w:val="32"/>
          <w:szCs w:val="32"/>
        </w:rPr>
      </w:pPr>
      <w:r>
        <w:rPr>
          <w:rFonts w:hint="eastAsia" w:ascii="仿宋" w:hAnsi="仿宋" w:eastAsia="仿宋" w:cs="仿宋_GB2312"/>
          <w:bCs/>
          <w:color w:val="000000"/>
          <w:kern w:val="0"/>
          <w:sz w:val="32"/>
          <w:szCs w:val="32"/>
          <w:shd w:val="clear" w:color="auto" w:fill="FFFFFF"/>
        </w:rPr>
        <w:t>福建省肿瘤医院科研楼四楼网络技术中心</w:t>
      </w:r>
    </w:p>
    <w:p w14:paraId="51A517C2">
      <w:pPr>
        <w:widowControl/>
        <w:shd w:val="clear" w:color="auto" w:fill="FFFFFF"/>
        <w:spacing w:line="440" w:lineRule="atLeast"/>
        <w:rPr>
          <w:rFonts w:ascii="仿宋" w:hAnsi="仿宋" w:eastAsia="仿宋" w:cs="仿宋_GB2312"/>
          <w:bCs/>
          <w:sz w:val="32"/>
          <w:szCs w:val="32"/>
        </w:rPr>
      </w:pPr>
      <w:r>
        <w:rPr>
          <w:rFonts w:hint="eastAsia" w:ascii="仿宋" w:hAnsi="仿宋" w:eastAsia="仿宋" w:cs="仿宋_GB2312"/>
          <w:bCs/>
          <w:color w:val="000000"/>
          <w:kern w:val="0"/>
          <w:sz w:val="32"/>
          <w:szCs w:val="32"/>
          <w:shd w:val="clear" w:color="auto" w:fill="FFFFFF"/>
        </w:rPr>
        <w:t>邮　编： 350014　</w:t>
      </w:r>
      <w:r>
        <w:rPr>
          <w:rFonts w:eastAsia="仿宋" w:cs="Calibri"/>
          <w:bCs/>
          <w:color w:val="000000"/>
          <w:kern w:val="0"/>
          <w:sz w:val="32"/>
          <w:szCs w:val="32"/>
          <w:shd w:val="clear" w:color="auto" w:fill="FFFFFF"/>
        </w:rPr>
        <w:t> </w:t>
      </w:r>
    </w:p>
    <w:p w14:paraId="130DA625">
      <w:pPr>
        <w:widowControl/>
        <w:shd w:val="clear" w:color="auto" w:fill="FFFFFF"/>
        <w:spacing w:line="440" w:lineRule="atLeast"/>
        <w:rPr>
          <w:rFonts w:ascii="仿宋" w:hAnsi="仿宋" w:eastAsia="仿宋" w:cs="仿宋_GB2312"/>
          <w:bCs/>
          <w:sz w:val="32"/>
          <w:szCs w:val="32"/>
        </w:rPr>
      </w:pPr>
      <w:r>
        <w:rPr>
          <w:rFonts w:hint="eastAsia" w:ascii="仿宋" w:hAnsi="仿宋" w:eastAsia="仿宋" w:cs="仿宋_GB2312"/>
          <w:bCs/>
          <w:color w:val="000000"/>
          <w:kern w:val="0"/>
          <w:sz w:val="32"/>
          <w:szCs w:val="32"/>
          <w:shd w:val="clear" w:color="auto" w:fill="FFFFFF"/>
        </w:rPr>
        <w:t>报名联系电话： 0591-83660063-8822</w:t>
      </w:r>
    </w:p>
    <w:p w14:paraId="6571A104">
      <w:pPr>
        <w:widowControl/>
        <w:shd w:val="clear" w:color="auto" w:fill="FFFFFF"/>
        <w:spacing w:line="440" w:lineRule="atLeast"/>
        <w:rPr>
          <w:rFonts w:ascii="Apple Color Emoji" w:hAnsi="Apple Color Emoji" w:eastAsia="Apple Color Emoji" w:cs="仿宋_GB2312"/>
          <w:bCs/>
          <w:color w:val="000000"/>
          <w:kern w:val="0"/>
          <w:sz w:val="32"/>
          <w:szCs w:val="32"/>
          <w:shd w:val="clear" w:color="auto" w:fill="FFFFFF"/>
        </w:rPr>
      </w:pPr>
      <w:r>
        <w:rPr>
          <w:rFonts w:hint="eastAsia" w:ascii="仿宋" w:hAnsi="仿宋" w:eastAsia="仿宋" w:cs="仿宋_GB2312"/>
          <w:bCs/>
          <w:color w:val="000000"/>
          <w:kern w:val="0"/>
          <w:sz w:val="32"/>
          <w:szCs w:val="32"/>
          <w:shd w:val="clear" w:color="auto" w:fill="FFFFFF"/>
        </w:rPr>
        <w:t>联系人：</w:t>
      </w:r>
      <w:r>
        <w:rPr>
          <w:rFonts w:hint="eastAsia" w:ascii="仿宋" w:hAnsi="仿宋" w:eastAsia="仿宋" w:cs="仿宋_GB2312"/>
          <w:bCs/>
          <w:color w:val="000000"/>
          <w:kern w:val="0"/>
          <w:sz w:val="32"/>
          <w:szCs w:val="32"/>
          <w:shd w:val="clear" w:color="auto" w:fill="FFFFFF"/>
          <w:lang w:val="en-US" w:eastAsia="zh-CN"/>
        </w:rPr>
        <w:t>张工、</w:t>
      </w:r>
      <w:r>
        <w:rPr>
          <w:rFonts w:hint="eastAsia" w:ascii="仿宋" w:hAnsi="仿宋" w:eastAsia="仿宋" w:cs="仿宋_GB2312"/>
          <w:bCs/>
          <w:color w:val="000000"/>
          <w:kern w:val="0"/>
          <w:sz w:val="32"/>
          <w:szCs w:val="32"/>
          <w:shd w:val="clear" w:color="auto" w:fill="FFFFFF"/>
        </w:rPr>
        <w:t>金工</w:t>
      </w:r>
    </w:p>
    <w:p w14:paraId="349DADAB">
      <w:pPr>
        <w:pStyle w:val="2"/>
        <w:rPr>
          <w:rFonts w:ascii="仿宋" w:hAnsi="仿宋" w:eastAsia="仿宋" w:cs="仿宋_GB2312"/>
          <w:sz w:val="32"/>
          <w:szCs w:val="32"/>
        </w:rPr>
      </w:pPr>
      <w:r>
        <w:rPr>
          <w:rFonts w:ascii="仿宋" w:hAnsi="仿宋" w:eastAsia="仿宋"/>
        </w:rPr>
        <w:br w:type="page"/>
      </w:r>
    </w:p>
    <w:p w14:paraId="42AD3A5A">
      <w:pPr>
        <w:widowControl/>
        <w:shd w:val="clear" w:color="auto" w:fill="FFFFFF"/>
        <w:adjustRightInd w:val="0"/>
        <w:snapToGrid w:val="0"/>
        <w:ind w:firstLine="420"/>
        <w:jc w:val="center"/>
        <w:rPr>
          <w:rFonts w:ascii="仿宋" w:hAnsi="仿宋" w:eastAsia="仿宋"/>
          <w:bCs/>
          <w:color w:val="000000"/>
          <w:kern w:val="0"/>
          <w:sz w:val="32"/>
          <w:szCs w:val="32"/>
          <w:shd w:val="clear" w:color="auto" w:fill="FFFFFF"/>
        </w:rPr>
      </w:pPr>
      <w:r>
        <w:rPr>
          <w:rFonts w:hint="eastAsia" w:ascii="仿宋" w:hAnsi="仿宋" w:eastAsia="仿宋"/>
          <w:bCs/>
          <w:color w:val="000000"/>
          <w:kern w:val="0"/>
          <w:sz w:val="32"/>
          <w:szCs w:val="32"/>
          <w:shd w:val="clear" w:color="auto" w:fill="FFFFFF"/>
        </w:rPr>
        <w:t>第二部分 具体要求</w:t>
      </w:r>
    </w:p>
    <w:p w14:paraId="24EF005F">
      <w:pPr>
        <w:widowControl/>
        <w:shd w:val="clear" w:color="auto" w:fill="FFFFFF"/>
        <w:spacing w:line="440" w:lineRule="atLeast"/>
        <w:rPr>
          <w:rFonts w:ascii="仿宋" w:hAnsi="仿宋" w:eastAsia="仿宋" w:cs="仿宋_GB2312"/>
          <w:b/>
          <w:color w:val="000000"/>
          <w:kern w:val="0"/>
          <w:sz w:val="32"/>
          <w:szCs w:val="32"/>
          <w:shd w:val="clear" w:color="auto" w:fill="FFFFFF"/>
        </w:rPr>
      </w:pPr>
      <w:r>
        <w:rPr>
          <w:rFonts w:hint="eastAsia" w:ascii="仿宋" w:hAnsi="仿宋" w:eastAsia="仿宋" w:cs="仿宋_GB2312"/>
          <w:b/>
          <w:color w:val="000000"/>
          <w:kern w:val="0"/>
          <w:sz w:val="32"/>
          <w:szCs w:val="32"/>
          <w:shd w:val="clear" w:color="auto" w:fill="FFFFFF"/>
        </w:rPr>
        <w:t>一、采购内容</w:t>
      </w:r>
    </w:p>
    <w:tbl>
      <w:tblPr>
        <w:tblStyle w:val="11"/>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8"/>
        <w:gridCol w:w="3757"/>
        <w:gridCol w:w="1590"/>
        <w:gridCol w:w="1894"/>
      </w:tblGrid>
      <w:tr w14:paraId="77EFA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2118" w:type="dxa"/>
            <w:vAlign w:val="center"/>
          </w:tcPr>
          <w:p w14:paraId="5CD4829E">
            <w:pPr>
              <w:widowControl/>
              <w:spacing w:afterLines="50"/>
              <w:jc w:val="center"/>
              <w:rPr>
                <w:rFonts w:ascii="仿宋" w:hAnsi="仿宋" w:eastAsia="仿宋" w:cs="仿宋_GB2312"/>
                <w:sz w:val="28"/>
                <w:szCs w:val="28"/>
              </w:rPr>
            </w:pPr>
            <w:r>
              <w:rPr>
                <w:rFonts w:hint="eastAsia" w:ascii="仿宋" w:hAnsi="仿宋" w:eastAsia="仿宋" w:cs="仿宋_GB2312"/>
                <w:color w:val="000000"/>
                <w:kern w:val="0"/>
                <w:sz w:val="28"/>
                <w:szCs w:val="28"/>
              </w:rPr>
              <w:t>合同包</w:t>
            </w:r>
          </w:p>
        </w:tc>
        <w:tc>
          <w:tcPr>
            <w:tcW w:w="3757" w:type="dxa"/>
            <w:vAlign w:val="center"/>
          </w:tcPr>
          <w:p w14:paraId="5E893A56">
            <w:pPr>
              <w:widowControl/>
              <w:spacing w:afterLines="50"/>
              <w:rPr>
                <w:rFonts w:ascii="仿宋" w:hAnsi="仿宋" w:eastAsia="仿宋" w:cs="仿宋_GB2312"/>
                <w:kern w:val="0"/>
                <w:sz w:val="28"/>
                <w:szCs w:val="28"/>
              </w:rPr>
            </w:pPr>
            <w:r>
              <w:rPr>
                <w:rFonts w:hint="eastAsia" w:ascii="仿宋" w:hAnsi="仿宋" w:eastAsia="仿宋" w:cs="仿宋_GB2312"/>
                <w:color w:val="000000"/>
                <w:kern w:val="0"/>
                <w:sz w:val="28"/>
                <w:szCs w:val="28"/>
              </w:rPr>
              <w:t>名 称</w:t>
            </w:r>
          </w:p>
        </w:tc>
        <w:tc>
          <w:tcPr>
            <w:tcW w:w="1590" w:type="dxa"/>
            <w:vAlign w:val="center"/>
          </w:tcPr>
          <w:p w14:paraId="2845B3F9">
            <w:pPr>
              <w:widowControl/>
              <w:spacing w:afterLines="50"/>
              <w:rPr>
                <w:rFonts w:ascii="仿宋" w:hAnsi="仿宋" w:eastAsia="仿宋" w:cs="仿宋_GB2312"/>
                <w:kern w:val="0"/>
                <w:sz w:val="28"/>
                <w:szCs w:val="28"/>
              </w:rPr>
            </w:pPr>
            <w:r>
              <w:rPr>
                <w:rFonts w:hint="eastAsia" w:ascii="仿宋" w:hAnsi="仿宋" w:eastAsia="仿宋" w:cs="仿宋_GB2312"/>
                <w:color w:val="000000"/>
                <w:kern w:val="0"/>
                <w:sz w:val="28"/>
                <w:szCs w:val="28"/>
              </w:rPr>
              <w:t>数量</w:t>
            </w:r>
          </w:p>
        </w:tc>
        <w:tc>
          <w:tcPr>
            <w:tcW w:w="1894" w:type="dxa"/>
            <w:vAlign w:val="center"/>
          </w:tcPr>
          <w:p w14:paraId="3FA13815">
            <w:pPr>
              <w:widowControl/>
              <w:spacing w:afterLines="50"/>
              <w:rPr>
                <w:rFonts w:ascii="仿宋" w:hAnsi="仿宋" w:eastAsia="仿宋" w:cs="仿宋_GB2312"/>
                <w:kern w:val="0"/>
                <w:sz w:val="28"/>
                <w:szCs w:val="28"/>
              </w:rPr>
            </w:pPr>
            <w:r>
              <w:rPr>
                <w:rFonts w:hint="eastAsia" w:ascii="仿宋" w:hAnsi="仿宋" w:eastAsia="仿宋" w:cs="仿宋_GB2312"/>
                <w:color w:val="000000"/>
                <w:kern w:val="0"/>
                <w:sz w:val="28"/>
                <w:szCs w:val="28"/>
              </w:rPr>
              <w:t>预算（万元）</w:t>
            </w:r>
          </w:p>
        </w:tc>
      </w:tr>
      <w:tr w14:paraId="48139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exact"/>
        </w:trPr>
        <w:tc>
          <w:tcPr>
            <w:tcW w:w="2118" w:type="dxa"/>
            <w:vAlign w:val="center"/>
          </w:tcPr>
          <w:p w14:paraId="2FF7C244">
            <w:pPr>
              <w:widowControl/>
              <w:spacing w:afterLines="50"/>
              <w:jc w:val="center"/>
              <w:rPr>
                <w:rFonts w:ascii="仿宋" w:hAnsi="仿宋" w:eastAsia="仿宋" w:cs="仿宋_GB2312"/>
                <w:sz w:val="28"/>
                <w:szCs w:val="28"/>
              </w:rPr>
            </w:pPr>
            <w:r>
              <w:rPr>
                <w:rFonts w:hint="eastAsia" w:ascii="仿宋" w:hAnsi="仿宋" w:eastAsia="仿宋" w:cs="仿宋_GB2312"/>
                <w:color w:val="000000"/>
                <w:kern w:val="0"/>
                <w:sz w:val="28"/>
                <w:szCs w:val="28"/>
              </w:rPr>
              <w:t>（一）</w:t>
            </w:r>
          </w:p>
        </w:tc>
        <w:tc>
          <w:tcPr>
            <w:tcW w:w="3757" w:type="dxa"/>
            <w:vAlign w:val="center"/>
          </w:tcPr>
          <w:p w14:paraId="5995D335">
            <w:pPr>
              <w:rPr>
                <w:rFonts w:ascii="仿宋" w:hAnsi="仿宋" w:eastAsia="仿宋" w:cs="仿宋_GB2312"/>
                <w:kern w:val="0"/>
                <w:sz w:val="28"/>
                <w:szCs w:val="28"/>
              </w:rPr>
            </w:pPr>
            <w:r>
              <w:rPr>
                <w:rFonts w:hint="eastAsia" w:ascii="仿宋" w:hAnsi="仿宋" w:eastAsia="仿宋" w:cs="仿宋_GB2312"/>
                <w:color w:val="000000"/>
                <w:kern w:val="0"/>
                <w:sz w:val="28"/>
                <w:szCs w:val="28"/>
              </w:rPr>
              <w:t>肿瘤专业质量指标管理平台</w:t>
            </w:r>
          </w:p>
        </w:tc>
        <w:tc>
          <w:tcPr>
            <w:tcW w:w="1590" w:type="dxa"/>
            <w:vAlign w:val="center"/>
          </w:tcPr>
          <w:p w14:paraId="047B562B">
            <w:pPr>
              <w:rPr>
                <w:rFonts w:ascii="仿宋" w:hAnsi="仿宋" w:eastAsia="仿宋" w:cs="仿宋_GB2312"/>
                <w:kern w:val="0"/>
                <w:sz w:val="28"/>
                <w:szCs w:val="28"/>
              </w:rPr>
            </w:pPr>
            <w:r>
              <w:rPr>
                <w:rFonts w:hint="eastAsia" w:ascii="仿宋" w:hAnsi="仿宋" w:eastAsia="仿宋" w:cs="仿宋_GB2312"/>
                <w:color w:val="000000"/>
                <w:kern w:val="0"/>
                <w:sz w:val="28"/>
                <w:szCs w:val="28"/>
              </w:rPr>
              <w:t xml:space="preserve"> 1</w:t>
            </w:r>
          </w:p>
        </w:tc>
        <w:tc>
          <w:tcPr>
            <w:tcW w:w="1894" w:type="dxa"/>
            <w:vAlign w:val="center"/>
          </w:tcPr>
          <w:p w14:paraId="02FAFAE6">
            <w:pPr>
              <w:autoSpaceDN w:val="0"/>
              <w:rPr>
                <w:rFonts w:ascii="仿宋" w:hAnsi="仿宋" w:eastAsia="仿宋" w:cs="仿宋_GB2312"/>
                <w:kern w:val="0"/>
                <w:sz w:val="28"/>
                <w:szCs w:val="28"/>
              </w:rPr>
            </w:pPr>
            <w:r>
              <w:rPr>
                <w:rFonts w:hint="eastAsia" w:ascii="仿宋" w:hAnsi="仿宋" w:eastAsia="仿宋" w:cs="仿宋_GB2312"/>
                <w:color w:val="000000"/>
                <w:sz w:val="28"/>
                <w:szCs w:val="28"/>
              </w:rPr>
              <w:t xml:space="preserve"> </w:t>
            </w:r>
            <w:r>
              <w:rPr>
                <w:rFonts w:hint="eastAsia" w:ascii="仿宋" w:hAnsi="仿宋" w:eastAsia="仿宋" w:cs="仿宋_GB2312"/>
                <w:color w:val="000000"/>
                <w:sz w:val="28"/>
                <w:szCs w:val="28"/>
                <w:lang w:val="en-US" w:eastAsia="zh-CN"/>
              </w:rPr>
              <w:t>18</w:t>
            </w:r>
            <w:r>
              <w:rPr>
                <w:rFonts w:hint="eastAsia" w:ascii="仿宋" w:hAnsi="仿宋" w:eastAsia="仿宋" w:cs="仿宋_GB2312"/>
                <w:color w:val="000000"/>
                <w:sz w:val="28"/>
                <w:szCs w:val="28"/>
              </w:rPr>
              <w:t>0</w:t>
            </w:r>
          </w:p>
        </w:tc>
      </w:tr>
    </w:tbl>
    <w:p w14:paraId="68532186">
      <w:pPr>
        <w:keepNext/>
        <w:widowControl/>
        <w:shd w:val="clear" w:color="auto" w:fill="FFFFFF"/>
        <w:autoSpaceDE w:val="0"/>
        <w:spacing w:before="120" w:after="120"/>
        <w:rPr>
          <w:rFonts w:ascii="仿宋" w:hAnsi="仿宋" w:eastAsia="仿宋" w:cs="仿宋_GB2312"/>
          <w:b/>
          <w:color w:val="000000"/>
          <w:kern w:val="0"/>
          <w:sz w:val="32"/>
          <w:szCs w:val="32"/>
          <w:shd w:val="clear" w:color="auto" w:fill="FFFFFF"/>
        </w:rPr>
      </w:pPr>
      <w:r>
        <w:rPr>
          <w:rFonts w:hint="eastAsia" w:ascii="仿宋" w:hAnsi="仿宋" w:eastAsia="仿宋" w:cs="仿宋_GB2312"/>
          <w:b/>
          <w:color w:val="000000"/>
          <w:kern w:val="0"/>
          <w:sz w:val="32"/>
          <w:szCs w:val="32"/>
          <w:shd w:val="clear" w:color="auto" w:fill="FFFFFF"/>
        </w:rPr>
        <w:t>二、技术功能及服务要求</w:t>
      </w:r>
    </w:p>
    <w:p w14:paraId="48BCBB93">
      <w:pPr>
        <w:widowControl/>
        <w:spacing w:beforeLines="50" w:afterLines="50" w:line="360" w:lineRule="auto"/>
        <w:ind w:firstLine="420"/>
        <w:jc w:val="left"/>
        <w:rPr>
          <w:rFonts w:ascii="仿宋" w:hAnsi="仿宋" w:eastAsia="仿宋"/>
          <w:sz w:val="28"/>
          <w:szCs w:val="28"/>
        </w:rPr>
      </w:pPr>
      <w:r>
        <w:rPr>
          <w:rFonts w:ascii="仿宋" w:hAnsi="仿宋" w:eastAsia="仿宋"/>
          <w:sz w:val="28"/>
          <w:szCs w:val="28"/>
        </w:rPr>
        <w:t>根据国家卫生健康委办公厅发布的《国家三级公立医院绩效考核操作手册（</w:t>
      </w:r>
      <w:r>
        <w:rPr>
          <w:rFonts w:hint="eastAsia" w:ascii="仿宋" w:hAnsi="仿宋" w:eastAsia="仿宋"/>
          <w:sz w:val="28"/>
          <w:szCs w:val="28"/>
          <w:lang w:eastAsia="zh-CN"/>
        </w:rPr>
        <w:t>202</w:t>
      </w:r>
      <w:r>
        <w:rPr>
          <w:rFonts w:hint="eastAsia" w:ascii="仿宋" w:hAnsi="仿宋" w:eastAsia="仿宋"/>
          <w:sz w:val="28"/>
          <w:szCs w:val="28"/>
          <w:lang w:val="en-US" w:eastAsia="zh-CN"/>
        </w:rPr>
        <w:t>4</w:t>
      </w:r>
      <w:r>
        <w:rPr>
          <w:rFonts w:ascii="仿宋" w:hAnsi="仿宋" w:eastAsia="仿宋"/>
          <w:sz w:val="28"/>
          <w:szCs w:val="28"/>
        </w:rPr>
        <w:t>版）》，需要针对“指标10单病种质量控制”中的42条肿瘤专业医疗质量指标，进行管理和上报。</w:t>
      </w:r>
      <w:r>
        <w:rPr>
          <w:rFonts w:hint="eastAsia" w:ascii="仿宋" w:hAnsi="仿宋" w:eastAsia="仿宋"/>
          <w:sz w:val="28"/>
          <w:szCs w:val="28"/>
        </w:rPr>
        <w:t>我院计划</w:t>
      </w:r>
      <w:r>
        <w:rPr>
          <w:rFonts w:ascii="仿宋" w:hAnsi="仿宋" w:eastAsia="仿宋"/>
          <w:sz w:val="28"/>
          <w:szCs w:val="28"/>
        </w:rPr>
        <w:t>采购“肿瘤专业质量指标管理平台”，满足新版国家绩效考核标准的要求，并提升整体医疗服务质量，为患者提供安全和高效的治疗方案。</w:t>
      </w:r>
    </w:p>
    <w:p w14:paraId="725D0000">
      <w:pPr>
        <w:pStyle w:val="2"/>
        <w:rPr>
          <w:rFonts w:ascii="仿宋" w:hAnsi="仿宋" w:eastAsia="仿宋" w:cs="仿宋_GB2312"/>
          <w:sz w:val="32"/>
          <w:szCs w:val="32"/>
        </w:rPr>
      </w:pPr>
      <w:r>
        <w:rPr>
          <w:rFonts w:hint="eastAsia" w:ascii="仿宋" w:hAnsi="仿宋" w:eastAsia="仿宋" w:cs="仿宋_GB2312"/>
          <w:sz w:val="32"/>
          <w:szCs w:val="32"/>
        </w:rPr>
        <w:t>1、合同包（一）</w:t>
      </w:r>
    </w:p>
    <w:tbl>
      <w:tblPr>
        <w:tblStyle w:val="11"/>
        <w:tblW w:w="8766" w:type="dxa"/>
        <w:tblInd w:w="5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969"/>
        <w:gridCol w:w="5947"/>
      </w:tblGrid>
      <w:tr w14:paraId="2AF1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top"/>
          </w:tcPr>
          <w:p w14:paraId="724CDA56">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69" w:type="dxa"/>
            <w:vAlign w:val="top"/>
          </w:tcPr>
          <w:p w14:paraId="23951B25">
            <w:pPr>
              <w:rPr>
                <w:rFonts w:hint="eastAsia" w:ascii="宋体" w:hAnsi="宋体" w:eastAsia="宋体" w:cs="宋体"/>
                <w:sz w:val="24"/>
                <w:szCs w:val="24"/>
              </w:rPr>
            </w:pPr>
            <w:r>
              <w:rPr>
                <w:rFonts w:hint="eastAsia" w:ascii="宋体" w:hAnsi="宋体" w:eastAsia="宋体" w:cs="宋体"/>
                <w:sz w:val="24"/>
                <w:szCs w:val="24"/>
              </w:rPr>
              <w:t>项目</w:t>
            </w:r>
          </w:p>
        </w:tc>
        <w:tc>
          <w:tcPr>
            <w:tcW w:w="5947" w:type="dxa"/>
            <w:vAlign w:val="top"/>
          </w:tcPr>
          <w:p w14:paraId="23860C42">
            <w:pPr>
              <w:rPr>
                <w:rFonts w:hint="eastAsia" w:ascii="宋体" w:hAnsi="宋体" w:eastAsia="宋体" w:cs="宋体"/>
                <w:sz w:val="24"/>
                <w:szCs w:val="24"/>
              </w:rPr>
            </w:pPr>
            <w:r>
              <w:rPr>
                <w:rFonts w:hint="eastAsia" w:ascii="宋体" w:hAnsi="宋体" w:eastAsia="宋体" w:cs="宋体"/>
                <w:sz w:val="24"/>
                <w:szCs w:val="24"/>
              </w:rPr>
              <w:t>技术参数要求</w:t>
            </w:r>
          </w:p>
        </w:tc>
      </w:tr>
      <w:tr w14:paraId="5FDD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34F483A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969" w:type="dxa"/>
            <w:tcBorders>
              <w:top w:val="single" w:color="auto" w:sz="4" w:space="0"/>
              <w:left w:val="single" w:color="auto" w:sz="4" w:space="0"/>
              <w:bottom w:val="single" w:color="auto" w:sz="4" w:space="0"/>
              <w:right w:val="single" w:color="auto" w:sz="4" w:space="0"/>
            </w:tcBorders>
            <w:vAlign w:val="center"/>
          </w:tcPr>
          <w:p w14:paraId="23BAA644">
            <w:pPr>
              <w:rPr>
                <w:rFonts w:hint="eastAsia" w:ascii="宋体" w:hAnsi="宋体" w:eastAsia="宋体" w:cs="宋体"/>
                <w:sz w:val="24"/>
                <w:szCs w:val="24"/>
              </w:rPr>
            </w:pPr>
            <w:r>
              <w:rPr>
                <w:rFonts w:hint="eastAsia" w:ascii="宋体" w:hAnsi="宋体" w:eastAsia="宋体" w:cs="宋体"/>
                <w:sz w:val="24"/>
                <w:szCs w:val="24"/>
              </w:rPr>
              <w:t>肿瘤规范化诊疗质控试点</w:t>
            </w:r>
          </w:p>
        </w:tc>
        <w:tc>
          <w:tcPr>
            <w:tcW w:w="5947" w:type="dxa"/>
            <w:tcBorders>
              <w:top w:val="single" w:color="auto" w:sz="4" w:space="0"/>
              <w:left w:val="single" w:color="auto" w:sz="4" w:space="0"/>
              <w:bottom w:val="single" w:color="auto" w:sz="4" w:space="0"/>
              <w:right w:val="single" w:color="auto" w:sz="4" w:space="0"/>
            </w:tcBorders>
            <w:vAlign w:val="center"/>
          </w:tcPr>
          <w:p w14:paraId="014BFA43">
            <w:pPr>
              <w:rPr>
                <w:rFonts w:hint="eastAsia" w:ascii="宋体" w:hAnsi="宋体" w:eastAsia="宋体" w:cs="宋体"/>
                <w:sz w:val="24"/>
                <w:szCs w:val="24"/>
              </w:rPr>
            </w:pPr>
            <w:r>
              <w:rPr>
                <w:rFonts w:hint="eastAsia" w:ascii="宋体" w:hAnsi="宋体" w:eastAsia="宋体" w:cs="宋体"/>
                <w:sz w:val="24"/>
                <w:szCs w:val="24"/>
              </w:rPr>
              <w:t>支持医院完成乳腺癌、肝癌、肺癌、卵巢、甲状腺、胃癌、黑色素瘤、宫颈癌、食管癌规范化诊疗质控试点建设。</w:t>
            </w:r>
          </w:p>
        </w:tc>
      </w:tr>
      <w:tr w14:paraId="27F3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3832CB5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969" w:type="dxa"/>
            <w:tcBorders>
              <w:top w:val="single" w:color="auto" w:sz="4" w:space="0"/>
              <w:left w:val="single" w:color="auto" w:sz="4" w:space="0"/>
              <w:bottom w:val="single" w:color="auto" w:sz="4" w:space="0"/>
              <w:right w:val="single" w:color="auto" w:sz="4" w:space="0"/>
            </w:tcBorders>
            <w:vAlign w:val="center"/>
          </w:tcPr>
          <w:p w14:paraId="47069568">
            <w:pPr>
              <w:rPr>
                <w:rFonts w:hint="eastAsia" w:ascii="宋体" w:hAnsi="宋体" w:eastAsia="宋体" w:cs="宋体"/>
                <w:sz w:val="24"/>
                <w:szCs w:val="24"/>
              </w:rPr>
            </w:pPr>
            <w:r>
              <w:rPr>
                <w:rFonts w:hint="eastAsia" w:ascii="宋体" w:hAnsi="宋体" w:eastAsia="宋体" w:cs="宋体"/>
                <w:sz w:val="24"/>
                <w:szCs w:val="24"/>
              </w:rPr>
              <w:t>肿瘤专业质量指标管理端分析</w:t>
            </w:r>
          </w:p>
        </w:tc>
        <w:tc>
          <w:tcPr>
            <w:tcW w:w="5947" w:type="dxa"/>
            <w:tcBorders>
              <w:top w:val="single" w:color="auto" w:sz="4" w:space="0"/>
              <w:left w:val="single" w:color="auto" w:sz="4" w:space="0"/>
              <w:bottom w:val="single" w:color="auto" w:sz="4" w:space="0"/>
              <w:right w:val="single" w:color="auto" w:sz="4" w:space="0"/>
            </w:tcBorders>
            <w:vAlign w:val="center"/>
          </w:tcPr>
          <w:p w14:paraId="056F4059">
            <w:pPr>
              <w:rPr>
                <w:rFonts w:hint="eastAsia" w:ascii="宋体" w:hAnsi="宋体" w:eastAsia="宋体" w:cs="宋体"/>
                <w:sz w:val="24"/>
                <w:szCs w:val="24"/>
              </w:rPr>
            </w:pPr>
            <w:r>
              <w:rPr>
                <w:rFonts w:hint="eastAsia" w:ascii="宋体" w:hAnsi="宋体" w:eastAsia="宋体" w:cs="宋体"/>
                <w:sz w:val="24"/>
                <w:szCs w:val="24"/>
              </w:rPr>
              <w:t>提供多</w:t>
            </w:r>
            <w:r>
              <w:rPr>
                <w:rFonts w:hint="eastAsia" w:ascii="宋体" w:hAnsi="宋体" w:eastAsia="宋体" w:cs="宋体"/>
                <w:sz w:val="24"/>
                <w:szCs w:val="24"/>
                <w:lang w:val="en-US" w:eastAsia="zh-CN"/>
              </w:rPr>
              <w:t>种</w:t>
            </w:r>
            <w:r>
              <w:rPr>
                <w:rFonts w:hint="eastAsia" w:ascii="宋体" w:hAnsi="宋体" w:eastAsia="宋体" w:cs="宋体"/>
                <w:sz w:val="24"/>
                <w:szCs w:val="24"/>
              </w:rPr>
              <w:t>的管理分析，涵盖住院医疗服务、肿瘤诊疗质量、绩效肿瘤诊疗质量管理和肿瘤治疗药物使用分析。有实时质控监测功能，可以对在院患者的诊疗过程进行实时监控，发现和纠正不规范的诊疗行为。</w:t>
            </w:r>
          </w:p>
        </w:tc>
      </w:tr>
      <w:tr w14:paraId="43AA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6D3C829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969" w:type="dxa"/>
            <w:tcBorders>
              <w:top w:val="single" w:color="auto" w:sz="4" w:space="0"/>
              <w:left w:val="single" w:color="auto" w:sz="4" w:space="0"/>
              <w:bottom w:val="single" w:color="auto" w:sz="4" w:space="0"/>
              <w:right w:val="single" w:color="auto" w:sz="4" w:space="0"/>
            </w:tcBorders>
            <w:vAlign w:val="center"/>
          </w:tcPr>
          <w:p w14:paraId="1EB1E67E">
            <w:pPr>
              <w:rPr>
                <w:rFonts w:hint="eastAsia" w:ascii="宋体" w:hAnsi="宋体" w:eastAsia="宋体" w:cs="宋体"/>
                <w:sz w:val="24"/>
                <w:szCs w:val="24"/>
              </w:rPr>
            </w:pPr>
            <w:r>
              <w:rPr>
                <w:rFonts w:hint="eastAsia" w:ascii="宋体" w:hAnsi="宋体" w:eastAsia="宋体" w:cs="宋体"/>
                <w:sz w:val="24"/>
                <w:szCs w:val="24"/>
              </w:rPr>
              <w:t>申诉处理</w:t>
            </w:r>
          </w:p>
        </w:tc>
        <w:tc>
          <w:tcPr>
            <w:tcW w:w="5947" w:type="dxa"/>
            <w:tcBorders>
              <w:top w:val="single" w:color="auto" w:sz="4" w:space="0"/>
              <w:left w:val="single" w:color="auto" w:sz="4" w:space="0"/>
              <w:bottom w:val="single" w:color="auto" w:sz="4" w:space="0"/>
              <w:right w:val="single" w:color="auto" w:sz="4" w:space="0"/>
            </w:tcBorders>
            <w:vAlign w:val="center"/>
          </w:tcPr>
          <w:p w14:paraId="32555C2E">
            <w:pPr>
              <w:rPr>
                <w:rFonts w:hint="eastAsia" w:ascii="宋体" w:hAnsi="宋体" w:eastAsia="宋体" w:cs="宋体"/>
                <w:sz w:val="24"/>
                <w:szCs w:val="24"/>
              </w:rPr>
            </w:pPr>
            <w:r>
              <w:rPr>
                <w:rFonts w:hint="eastAsia" w:ascii="宋体" w:hAnsi="宋体" w:eastAsia="宋体" w:cs="宋体"/>
                <w:sz w:val="24"/>
                <w:szCs w:val="24"/>
              </w:rPr>
              <w:t>医生和其他医疗工作人员可以通过系统提交质控申诉。</w:t>
            </w:r>
          </w:p>
        </w:tc>
      </w:tr>
      <w:tr w14:paraId="7970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7AA4949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969" w:type="dxa"/>
            <w:tcBorders>
              <w:top w:val="single" w:color="auto" w:sz="4" w:space="0"/>
              <w:left w:val="single" w:color="auto" w:sz="4" w:space="0"/>
              <w:bottom w:val="single" w:color="auto" w:sz="4" w:space="0"/>
              <w:right w:val="single" w:color="auto" w:sz="4" w:space="0"/>
            </w:tcBorders>
            <w:vAlign w:val="center"/>
          </w:tcPr>
          <w:p w14:paraId="3F48DA2E">
            <w:pPr>
              <w:rPr>
                <w:rFonts w:hint="eastAsia" w:ascii="宋体" w:hAnsi="宋体" w:eastAsia="宋体" w:cs="宋体"/>
                <w:sz w:val="24"/>
                <w:szCs w:val="24"/>
              </w:rPr>
            </w:pPr>
            <w:r>
              <w:rPr>
                <w:rFonts w:hint="eastAsia" w:ascii="宋体" w:hAnsi="宋体" w:eastAsia="宋体" w:cs="宋体"/>
                <w:sz w:val="24"/>
                <w:szCs w:val="24"/>
              </w:rPr>
              <w:t>自动化质控报告</w:t>
            </w:r>
          </w:p>
        </w:tc>
        <w:tc>
          <w:tcPr>
            <w:tcW w:w="5947" w:type="dxa"/>
            <w:tcBorders>
              <w:top w:val="single" w:color="auto" w:sz="4" w:space="0"/>
              <w:left w:val="single" w:color="auto" w:sz="4" w:space="0"/>
              <w:bottom w:val="single" w:color="auto" w:sz="4" w:space="0"/>
              <w:right w:val="single" w:color="auto" w:sz="4" w:space="0"/>
            </w:tcBorders>
            <w:vAlign w:val="center"/>
          </w:tcPr>
          <w:p w14:paraId="313580A6">
            <w:pPr>
              <w:rPr>
                <w:rFonts w:hint="eastAsia" w:ascii="宋体" w:hAnsi="宋体" w:eastAsia="宋体" w:cs="宋体"/>
                <w:sz w:val="24"/>
                <w:szCs w:val="24"/>
              </w:rPr>
            </w:pPr>
            <w:r>
              <w:rPr>
                <w:rFonts w:hint="eastAsia" w:ascii="宋体" w:hAnsi="宋体" w:eastAsia="宋体" w:cs="宋体"/>
                <w:sz w:val="24"/>
                <w:szCs w:val="24"/>
              </w:rPr>
              <w:t xml:space="preserve">能生成全面的质量管理报告，根据收集的数据和分析结果，自动生成各类质控和绩效报告。 </w:t>
            </w:r>
          </w:p>
        </w:tc>
      </w:tr>
      <w:tr w14:paraId="582B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61F908E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969" w:type="dxa"/>
            <w:tcBorders>
              <w:top w:val="single" w:color="auto" w:sz="4" w:space="0"/>
              <w:left w:val="single" w:color="auto" w:sz="4" w:space="0"/>
              <w:bottom w:val="single" w:color="auto" w:sz="4" w:space="0"/>
              <w:right w:val="single" w:color="auto" w:sz="4" w:space="0"/>
            </w:tcBorders>
            <w:vAlign w:val="center"/>
          </w:tcPr>
          <w:p w14:paraId="7986B8E9">
            <w:pPr>
              <w:rPr>
                <w:rFonts w:hint="eastAsia" w:ascii="宋体" w:hAnsi="宋体" w:eastAsia="宋体" w:cs="宋体"/>
                <w:sz w:val="24"/>
                <w:szCs w:val="24"/>
              </w:rPr>
            </w:pPr>
            <w:r>
              <w:rPr>
                <w:rFonts w:hint="eastAsia" w:ascii="宋体" w:hAnsi="宋体" w:eastAsia="宋体" w:cs="宋体"/>
                <w:sz w:val="24"/>
                <w:szCs w:val="24"/>
              </w:rPr>
              <w:t>数据上报服务</w:t>
            </w:r>
          </w:p>
        </w:tc>
        <w:tc>
          <w:tcPr>
            <w:tcW w:w="5947" w:type="dxa"/>
            <w:tcBorders>
              <w:top w:val="single" w:color="auto" w:sz="4" w:space="0"/>
              <w:left w:val="single" w:color="auto" w:sz="4" w:space="0"/>
              <w:bottom w:val="single" w:color="auto" w:sz="4" w:space="0"/>
              <w:right w:val="single" w:color="auto" w:sz="4" w:space="0"/>
            </w:tcBorders>
            <w:vAlign w:val="center"/>
          </w:tcPr>
          <w:p w14:paraId="64234B74">
            <w:pPr>
              <w:rPr>
                <w:rFonts w:hint="eastAsia" w:ascii="宋体" w:hAnsi="宋体" w:eastAsia="宋体" w:cs="宋体"/>
                <w:sz w:val="24"/>
                <w:szCs w:val="24"/>
              </w:rPr>
            </w:pPr>
            <w:r>
              <w:rPr>
                <w:rFonts w:hint="eastAsia" w:ascii="宋体" w:hAnsi="宋体" w:eastAsia="宋体" w:cs="宋体"/>
                <w:sz w:val="24"/>
                <w:szCs w:val="24"/>
              </w:rPr>
              <w:t>提供数据上报服务，并满足《国家三级公立医院绩效考核操作手册（</w:t>
            </w:r>
            <w:r>
              <w:rPr>
                <w:rFonts w:hint="eastAsia" w:ascii="宋体" w:hAnsi="宋体" w:cs="宋体"/>
                <w:sz w:val="24"/>
                <w:szCs w:val="24"/>
                <w:lang w:eastAsia="zh-CN"/>
              </w:rPr>
              <w:t>202</w:t>
            </w:r>
            <w:r>
              <w:rPr>
                <w:rFonts w:hint="eastAsia" w:ascii="宋体" w:hAnsi="宋体" w:cs="宋体"/>
                <w:sz w:val="24"/>
                <w:szCs w:val="24"/>
                <w:lang w:val="en-US" w:eastAsia="zh-CN"/>
              </w:rPr>
              <w:t>4</w:t>
            </w:r>
            <w:r>
              <w:rPr>
                <w:rFonts w:hint="eastAsia" w:ascii="宋体" w:hAnsi="宋体" w:eastAsia="宋体" w:cs="宋体"/>
                <w:sz w:val="24"/>
                <w:szCs w:val="24"/>
              </w:rPr>
              <w:t>版）》“指标10单病种质量控制”中的42条肿瘤专业医疗质量指标上报政策的要求。</w:t>
            </w:r>
          </w:p>
        </w:tc>
      </w:tr>
      <w:tr w14:paraId="008E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629C4EC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969" w:type="dxa"/>
            <w:tcBorders>
              <w:top w:val="single" w:color="auto" w:sz="4" w:space="0"/>
              <w:left w:val="single" w:color="auto" w:sz="4" w:space="0"/>
              <w:bottom w:val="single" w:color="auto" w:sz="4" w:space="0"/>
              <w:right w:val="single" w:color="auto" w:sz="4" w:space="0"/>
            </w:tcBorders>
            <w:vAlign w:val="center"/>
          </w:tcPr>
          <w:p w14:paraId="4BC47AD7">
            <w:pPr>
              <w:rPr>
                <w:rFonts w:hint="eastAsia" w:ascii="宋体" w:hAnsi="宋体" w:eastAsia="宋体" w:cs="宋体"/>
                <w:sz w:val="24"/>
                <w:szCs w:val="24"/>
              </w:rPr>
            </w:pPr>
            <w:r>
              <w:rPr>
                <w:rFonts w:hint="eastAsia" w:ascii="宋体" w:hAnsi="宋体" w:eastAsia="宋体" w:cs="宋体"/>
                <w:sz w:val="24"/>
                <w:szCs w:val="24"/>
              </w:rPr>
              <w:t>质控申诉</w:t>
            </w:r>
          </w:p>
        </w:tc>
        <w:tc>
          <w:tcPr>
            <w:tcW w:w="5947" w:type="dxa"/>
            <w:tcBorders>
              <w:top w:val="single" w:color="auto" w:sz="4" w:space="0"/>
              <w:left w:val="single" w:color="auto" w:sz="4" w:space="0"/>
              <w:bottom w:val="single" w:color="auto" w:sz="4" w:space="0"/>
              <w:right w:val="single" w:color="auto" w:sz="4" w:space="0"/>
            </w:tcBorders>
            <w:vAlign w:val="center"/>
          </w:tcPr>
          <w:p w14:paraId="5E15B468">
            <w:pPr>
              <w:rPr>
                <w:rFonts w:hint="eastAsia" w:ascii="宋体" w:hAnsi="宋体" w:eastAsia="宋体" w:cs="宋体"/>
                <w:sz w:val="24"/>
                <w:szCs w:val="24"/>
              </w:rPr>
            </w:pPr>
            <w:r>
              <w:rPr>
                <w:rFonts w:hint="eastAsia" w:ascii="宋体" w:hAnsi="宋体" w:eastAsia="宋体" w:cs="宋体"/>
                <w:sz w:val="24"/>
                <w:szCs w:val="24"/>
              </w:rPr>
              <w:t>提供质控申诉功能，可对系统质控结果进行问题申诉，支持填写申诉原因。支持查看上级医生的处理结果及申诉历史。质控结果需由上级医生进行申诉审核，必须在审核通过后系统才会进行质控结果的自动调整。</w:t>
            </w:r>
          </w:p>
        </w:tc>
      </w:tr>
      <w:tr w14:paraId="39CF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D09B65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969" w:type="dxa"/>
            <w:tcBorders>
              <w:top w:val="single" w:color="auto" w:sz="4" w:space="0"/>
              <w:left w:val="single" w:color="auto" w:sz="4" w:space="0"/>
              <w:bottom w:val="single" w:color="auto" w:sz="4" w:space="0"/>
              <w:right w:val="single" w:color="auto" w:sz="4" w:space="0"/>
            </w:tcBorders>
            <w:vAlign w:val="center"/>
          </w:tcPr>
          <w:p w14:paraId="7464E63F">
            <w:pPr>
              <w:rPr>
                <w:rFonts w:hint="eastAsia" w:ascii="宋体" w:hAnsi="宋体" w:eastAsia="宋体" w:cs="宋体"/>
                <w:sz w:val="24"/>
                <w:szCs w:val="24"/>
              </w:rPr>
            </w:pPr>
            <w:r>
              <w:rPr>
                <w:rFonts w:hint="eastAsia" w:ascii="宋体" w:hAnsi="宋体" w:eastAsia="宋体" w:cs="宋体"/>
                <w:sz w:val="24"/>
                <w:szCs w:val="24"/>
              </w:rPr>
              <w:t>质控结果溯源</w:t>
            </w:r>
          </w:p>
        </w:tc>
        <w:tc>
          <w:tcPr>
            <w:tcW w:w="5947" w:type="dxa"/>
            <w:tcBorders>
              <w:top w:val="single" w:color="auto" w:sz="4" w:space="0"/>
              <w:left w:val="single" w:color="auto" w:sz="4" w:space="0"/>
              <w:bottom w:val="single" w:color="auto" w:sz="4" w:space="0"/>
              <w:right w:val="single" w:color="auto" w:sz="4" w:space="0"/>
            </w:tcBorders>
            <w:vAlign w:val="center"/>
          </w:tcPr>
          <w:p w14:paraId="290EDA75">
            <w:pPr>
              <w:rPr>
                <w:rFonts w:hint="eastAsia" w:ascii="宋体" w:hAnsi="宋体" w:eastAsia="宋体" w:cs="宋体"/>
                <w:sz w:val="24"/>
                <w:szCs w:val="24"/>
              </w:rPr>
            </w:pPr>
            <w:r>
              <w:rPr>
                <w:rFonts w:hint="eastAsia" w:ascii="宋体" w:hAnsi="宋体" w:eastAsia="宋体" w:cs="宋体"/>
                <w:sz w:val="24"/>
                <w:szCs w:val="24"/>
              </w:rPr>
              <w:t>可对质控结果进行追溯，并支持对系统进行配置，分配任务和管理用户角色。</w:t>
            </w:r>
          </w:p>
        </w:tc>
      </w:tr>
      <w:tr w14:paraId="0708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181725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969" w:type="dxa"/>
            <w:tcBorders>
              <w:top w:val="single" w:color="auto" w:sz="4" w:space="0"/>
              <w:left w:val="single" w:color="auto" w:sz="4" w:space="0"/>
              <w:bottom w:val="single" w:color="auto" w:sz="4" w:space="0"/>
              <w:right w:val="single" w:color="auto" w:sz="4" w:space="0"/>
            </w:tcBorders>
            <w:vAlign w:val="center"/>
          </w:tcPr>
          <w:p w14:paraId="6A505668">
            <w:pPr>
              <w:rPr>
                <w:rFonts w:hint="eastAsia" w:ascii="宋体" w:hAnsi="宋体" w:eastAsia="宋体" w:cs="宋体"/>
                <w:sz w:val="24"/>
                <w:szCs w:val="24"/>
              </w:rPr>
            </w:pPr>
            <w:r>
              <w:rPr>
                <w:rFonts w:hint="eastAsia" w:ascii="宋体" w:hAnsi="宋体" w:eastAsia="宋体" w:cs="宋体"/>
                <w:sz w:val="24"/>
                <w:szCs w:val="24"/>
              </w:rPr>
              <w:t>肿瘤数据治理</w:t>
            </w:r>
          </w:p>
        </w:tc>
        <w:tc>
          <w:tcPr>
            <w:tcW w:w="5947" w:type="dxa"/>
            <w:tcBorders>
              <w:top w:val="single" w:color="auto" w:sz="4" w:space="0"/>
              <w:left w:val="single" w:color="auto" w:sz="4" w:space="0"/>
              <w:bottom w:val="single" w:color="auto" w:sz="4" w:space="0"/>
              <w:right w:val="single" w:color="auto" w:sz="4" w:space="0"/>
            </w:tcBorders>
            <w:vAlign w:val="center"/>
          </w:tcPr>
          <w:p w14:paraId="58FF00D4">
            <w:pPr>
              <w:rPr>
                <w:rFonts w:hint="eastAsia" w:ascii="宋体" w:hAnsi="宋体" w:eastAsia="宋体" w:cs="宋体"/>
                <w:sz w:val="24"/>
                <w:szCs w:val="24"/>
              </w:rPr>
            </w:pPr>
            <w:r>
              <w:rPr>
                <w:rFonts w:hint="eastAsia" w:ascii="宋体" w:hAnsi="宋体" w:eastAsia="宋体" w:cs="宋体"/>
                <w:sz w:val="24"/>
                <w:szCs w:val="24"/>
              </w:rPr>
              <w:t>需对历史3个月的数据及系统上线以后的数据进行全面的数据治理。主数据管理需确保各类数据的一致性、准确性和完整性。建立统一的主数据管理平台，对患者信息、医疗资源、诊疗过程等各类主数据进行集中管理和维护。</w:t>
            </w:r>
          </w:p>
        </w:tc>
      </w:tr>
      <w:tr w14:paraId="3901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213526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969" w:type="dxa"/>
            <w:tcBorders>
              <w:top w:val="single" w:color="auto" w:sz="4" w:space="0"/>
              <w:left w:val="single" w:color="auto" w:sz="4" w:space="0"/>
              <w:bottom w:val="single" w:color="auto" w:sz="4" w:space="0"/>
              <w:right w:val="single" w:color="auto" w:sz="4" w:space="0"/>
            </w:tcBorders>
            <w:vAlign w:val="center"/>
          </w:tcPr>
          <w:p w14:paraId="163A3C78">
            <w:pPr>
              <w:rPr>
                <w:rFonts w:hint="eastAsia" w:ascii="宋体" w:hAnsi="宋体" w:eastAsia="宋体" w:cs="宋体"/>
                <w:sz w:val="24"/>
                <w:szCs w:val="24"/>
              </w:rPr>
            </w:pPr>
            <w:r>
              <w:rPr>
                <w:rFonts w:hint="eastAsia" w:ascii="宋体" w:hAnsi="宋体" w:eastAsia="宋体" w:cs="宋体"/>
                <w:sz w:val="24"/>
                <w:szCs w:val="24"/>
              </w:rPr>
              <w:t>肿瘤质控规则库</w:t>
            </w:r>
          </w:p>
        </w:tc>
        <w:tc>
          <w:tcPr>
            <w:tcW w:w="5947" w:type="dxa"/>
            <w:tcBorders>
              <w:top w:val="single" w:color="auto" w:sz="4" w:space="0"/>
              <w:left w:val="single" w:color="auto" w:sz="4" w:space="0"/>
              <w:bottom w:val="single" w:color="auto" w:sz="4" w:space="0"/>
              <w:right w:val="single" w:color="auto" w:sz="4" w:space="0"/>
            </w:tcBorders>
            <w:vAlign w:val="center"/>
          </w:tcPr>
          <w:p w14:paraId="617EA77E">
            <w:pPr>
              <w:rPr>
                <w:rFonts w:hint="eastAsia" w:ascii="宋体" w:hAnsi="宋体" w:eastAsia="宋体" w:cs="宋体"/>
                <w:sz w:val="24"/>
                <w:szCs w:val="24"/>
              </w:rPr>
            </w:pPr>
            <w:r>
              <w:rPr>
                <w:rFonts w:hint="eastAsia" w:ascii="宋体" w:hAnsi="宋体" w:eastAsia="宋体" w:cs="宋体"/>
                <w:sz w:val="24"/>
                <w:szCs w:val="24"/>
              </w:rPr>
              <w:t>需涵盖十个主要癌种的质控规则，提供质控指标管理工具。规则库支持可视化的53条肿瘤质控监测指标规则图谱，包含与质控相关的患者标签逻辑和质控规则逻辑。实现跟踪和管理每个癌种的质控情况，确保质控指标的有效管理和应用。</w:t>
            </w:r>
          </w:p>
        </w:tc>
      </w:tr>
      <w:tr w14:paraId="35A9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38ADDFF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969" w:type="dxa"/>
            <w:tcBorders>
              <w:top w:val="single" w:color="auto" w:sz="4" w:space="0"/>
              <w:left w:val="single" w:color="auto" w:sz="4" w:space="0"/>
              <w:bottom w:val="single" w:color="auto" w:sz="4" w:space="0"/>
              <w:right w:val="single" w:color="auto" w:sz="4" w:space="0"/>
            </w:tcBorders>
            <w:vAlign w:val="center"/>
          </w:tcPr>
          <w:p w14:paraId="4DC8D4F0">
            <w:pPr>
              <w:rPr>
                <w:rFonts w:hint="eastAsia" w:ascii="宋体" w:hAnsi="宋体" w:eastAsia="宋体" w:cs="宋体"/>
                <w:sz w:val="24"/>
                <w:szCs w:val="24"/>
              </w:rPr>
            </w:pPr>
            <w:r>
              <w:rPr>
                <w:rFonts w:hint="eastAsia" w:ascii="宋体" w:hAnsi="宋体" w:eastAsia="宋体" w:cs="宋体"/>
                <w:sz w:val="24"/>
                <w:szCs w:val="24"/>
              </w:rPr>
              <w:t>技术架构</w:t>
            </w:r>
          </w:p>
        </w:tc>
        <w:tc>
          <w:tcPr>
            <w:tcW w:w="5947" w:type="dxa"/>
            <w:tcBorders>
              <w:top w:val="single" w:color="auto" w:sz="4" w:space="0"/>
              <w:left w:val="single" w:color="auto" w:sz="4" w:space="0"/>
              <w:bottom w:val="single" w:color="auto" w:sz="4" w:space="0"/>
              <w:right w:val="single" w:color="auto" w:sz="4" w:space="0"/>
            </w:tcBorders>
            <w:vAlign w:val="top"/>
          </w:tcPr>
          <w:p w14:paraId="5FD048F7">
            <w:pPr>
              <w:rPr>
                <w:rFonts w:hint="eastAsia" w:ascii="宋体" w:hAnsi="宋体" w:eastAsia="宋体" w:cs="宋体"/>
                <w:sz w:val="24"/>
                <w:szCs w:val="24"/>
              </w:rPr>
            </w:pPr>
            <w:r>
              <w:rPr>
                <w:rFonts w:hint="eastAsia" w:ascii="宋体" w:hAnsi="宋体" w:eastAsia="宋体" w:cs="宋体"/>
                <w:sz w:val="24"/>
                <w:szCs w:val="24"/>
              </w:rPr>
              <w:t>项目优先考虑应用技术架构要支持B/S架构部署，采用微服务松耦合的技术架构。基于先进的医疗专业开发平台开发定义业务应用，业务系统支持模块化设计与开发；</w:t>
            </w:r>
          </w:p>
          <w:p w14:paraId="1D27EDF7">
            <w:pPr>
              <w:rPr>
                <w:rFonts w:hint="eastAsia" w:ascii="宋体" w:hAnsi="宋体" w:eastAsia="宋体" w:cs="宋体"/>
                <w:sz w:val="24"/>
                <w:szCs w:val="24"/>
              </w:rPr>
            </w:pPr>
            <w:r>
              <w:rPr>
                <w:rFonts w:hint="eastAsia" w:ascii="宋体" w:hAnsi="宋体" w:eastAsia="宋体" w:cs="宋体"/>
                <w:sz w:val="24"/>
                <w:szCs w:val="24"/>
              </w:rPr>
              <w:t>提供详细的业务架构、技术架构、数据架构方案。</w:t>
            </w:r>
          </w:p>
        </w:tc>
      </w:tr>
      <w:tr w14:paraId="5D60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622C36B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969" w:type="dxa"/>
            <w:tcBorders>
              <w:top w:val="single" w:color="auto" w:sz="4" w:space="0"/>
              <w:left w:val="single" w:color="auto" w:sz="4" w:space="0"/>
              <w:bottom w:val="single" w:color="auto" w:sz="4" w:space="0"/>
              <w:right w:val="single" w:color="auto" w:sz="4" w:space="0"/>
            </w:tcBorders>
            <w:vAlign w:val="center"/>
          </w:tcPr>
          <w:p w14:paraId="2D4DD7EF">
            <w:pPr>
              <w:rPr>
                <w:rFonts w:hint="eastAsia" w:ascii="宋体" w:hAnsi="宋体" w:eastAsia="宋体" w:cs="宋体"/>
                <w:sz w:val="24"/>
                <w:szCs w:val="24"/>
              </w:rPr>
            </w:pPr>
            <w:r>
              <w:rPr>
                <w:rFonts w:hint="eastAsia" w:ascii="宋体" w:hAnsi="宋体" w:eastAsia="宋体" w:cs="宋体"/>
                <w:sz w:val="24"/>
                <w:szCs w:val="24"/>
              </w:rPr>
              <w:t>数据集成能力：实时集成</w:t>
            </w:r>
          </w:p>
        </w:tc>
        <w:tc>
          <w:tcPr>
            <w:tcW w:w="5947" w:type="dxa"/>
            <w:tcBorders>
              <w:top w:val="single" w:color="auto" w:sz="4" w:space="0"/>
              <w:left w:val="single" w:color="auto" w:sz="4" w:space="0"/>
              <w:bottom w:val="single" w:color="auto" w:sz="4" w:space="0"/>
              <w:right w:val="single" w:color="auto" w:sz="4" w:space="0"/>
            </w:tcBorders>
            <w:vAlign w:val="top"/>
          </w:tcPr>
          <w:p w14:paraId="4F953BBA">
            <w:pPr>
              <w:rPr>
                <w:rFonts w:hint="eastAsia" w:ascii="宋体" w:hAnsi="宋体" w:eastAsia="宋体" w:cs="宋体"/>
                <w:sz w:val="24"/>
                <w:szCs w:val="24"/>
              </w:rPr>
            </w:pPr>
            <w:r>
              <w:rPr>
                <w:rFonts w:hint="eastAsia" w:ascii="宋体" w:hAnsi="宋体" w:eastAsia="宋体" w:cs="宋体"/>
                <w:sz w:val="24"/>
                <w:szCs w:val="24"/>
              </w:rPr>
              <w:t>界面集成，支持C/S版本</w:t>
            </w:r>
            <w:r>
              <w:rPr>
                <w:rFonts w:hint="eastAsia" w:ascii="宋体" w:hAnsi="宋体" w:eastAsia="宋体" w:cs="宋体"/>
                <w:sz w:val="24"/>
                <w:szCs w:val="24"/>
                <w:lang w:val="en-US" w:eastAsia="zh-CN"/>
              </w:rPr>
              <w:t>及</w:t>
            </w:r>
            <w:r>
              <w:rPr>
                <w:rFonts w:hint="eastAsia" w:ascii="宋体" w:hAnsi="宋体" w:eastAsia="宋体" w:cs="宋体"/>
                <w:sz w:val="24"/>
                <w:szCs w:val="24"/>
              </w:rPr>
              <w:t>B/S版本，支持自动化升级；</w:t>
            </w:r>
          </w:p>
          <w:p w14:paraId="743BF2E3">
            <w:pPr>
              <w:rPr>
                <w:rFonts w:hint="eastAsia" w:ascii="宋体" w:hAnsi="宋体" w:eastAsia="宋体" w:cs="宋体"/>
                <w:sz w:val="24"/>
                <w:szCs w:val="24"/>
              </w:rPr>
            </w:pPr>
            <w:r>
              <w:rPr>
                <w:rFonts w:hint="eastAsia" w:ascii="宋体" w:hAnsi="宋体" w:eastAsia="宋体" w:cs="宋体"/>
                <w:sz w:val="24"/>
                <w:szCs w:val="24"/>
              </w:rPr>
              <w:t>支持界面自定义显示方式、界面自定义显示内容等；</w:t>
            </w:r>
          </w:p>
          <w:p w14:paraId="14EA4879">
            <w:pPr>
              <w:rPr>
                <w:rFonts w:hint="eastAsia" w:ascii="宋体" w:hAnsi="宋体" w:eastAsia="宋体" w:cs="宋体"/>
                <w:sz w:val="24"/>
                <w:szCs w:val="24"/>
              </w:rPr>
            </w:pPr>
            <w:r>
              <w:rPr>
                <w:rFonts w:hint="eastAsia" w:ascii="宋体" w:hAnsi="宋体" w:eastAsia="宋体" w:cs="宋体"/>
                <w:sz w:val="24"/>
                <w:szCs w:val="24"/>
              </w:rPr>
              <w:t>实时数据集成、支持MQ、kafka等；</w:t>
            </w:r>
          </w:p>
          <w:p w14:paraId="451C07ED">
            <w:pPr>
              <w:rPr>
                <w:rFonts w:hint="eastAsia" w:ascii="宋体" w:hAnsi="宋体" w:eastAsia="宋体" w:cs="宋体"/>
                <w:sz w:val="24"/>
                <w:szCs w:val="24"/>
              </w:rPr>
            </w:pPr>
            <w:r>
              <w:rPr>
                <w:rFonts w:hint="eastAsia" w:ascii="宋体" w:hAnsi="宋体" w:eastAsia="宋体" w:cs="宋体"/>
                <w:sz w:val="24"/>
                <w:szCs w:val="24"/>
              </w:rPr>
              <w:t>支持场景包括医嘱、手术、病历、诊断等。用户可自定义配置场景内容。</w:t>
            </w:r>
          </w:p>
        </w:tc>
      </w:tr>
      <w:tr w14:paraId="47B6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59B781A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969" w:type="dxa"/>
            <w:tcBorders>
              <w:top w:val="single" w:color="auto" w:sz="4" w:space="0"/>
              <w:left w:val="single" w:color="auto" w:sz="4" w:space="0"/>
              <w:bottom w:val="single" w:color="auto" w:sz="4" w:space="0"/>
              <w:right w:val="single" w:color="auto" w:sz="4" w:space="0"/>
            </w:tcBorders>
            <w:vAlign w:val="center"/>
          </w:tcPr>
          <w:p w14:paraId="686785A1">
            <w:pPr>
              <w:rPr>
                <w:rFonts w:hint="eastAsia" w:ascii="宋体" w:hAnsi="宋体" w:eastAsia="宋体" w:cs="宋体"/>
                <w:sz w:val="24"/>
                <w:szCs w:val="24"/>
              </w:rPr>
            </w:pPr>
            <w:r>
              <w:rPr>
                <w:rFonts w:hint="eastAsia" w:ascii="宋体" w:hAnsi="宋体" w:eastAsia="宋体" w:cs="宋体"/>
                <w:sz w:val="24"/>
                <w:szCs w:val="24"/>
              </w:rPr>
              <w:t>数据集成能力：离线集成</w:t>
            </w:r>
          </w:p>
        </w:tc>
        <w:tc>
          <w:tcPr>
            <w:tcW w:w="5947" w:type="dxa"/>
            <w:tcBorders>
              <w:top w:val="single" w:color="auto" w:sz="4" w:space="0"/>
              <w:left w:val="single" w:color="auto" w:sz="4" w:space="0"/>
              <w:bottom w:val="single" w:color="auto" w:sz="4" w:space="0"/>
              <w:right w:val="single" w:color="auto" w:sz="4" w:space="0"/>
            </w:tcBorders>
            <w:vAlign w:val="top"/>
          </w:tcPr>
          <w:p w14:paraId="1AD0EBDE">
            <w:pPr>
              <w:rPr>
                <w:rFonts w:hint="eastAsia" w:ascii="宋体" w:hAnsi="宋体" w:eastAsia="宋体" w:cs="宋体"/>
                <w:sz w:val="24"/>
                <w:szCs w:val="24"/>
              </w:rPr>
            </w:pPr>
            <w:r>
              <w:rPr>
                <w:rFonts w:hint="eastAsia" w:ascii="宋体" w:hAnsi="宋体" w:eastAsia="宋体" w:cs="宋体"/>
                <w:sz w:val="24"/>
                <w:szCs w:val="24"/>
              </w:rPr>
              <w:t>支持自定义离线采集的频率与范围，提供界面可视化；</w:t>
            </w:r>
          </w:p>
          <w:p w14:paraId="0A4A77AC">
            <w:pPr>
              <w:rPr>
                <w:rFonts w:hint="eastAsia" w:ascii="宋体" w:hAnsi="宋体" w:eastAsia="宋体" w:cs="宋体"/>
                <w:sz w:val="24"/>
                <w:szCs w:val="24"/>
              </w:rPr>
            </w:pPr>
            <w:r>
              <w:rPr>
                <w:rFonts w:hint="eastAsia" w:ascii="宋体" w:hAnsi="宋体" w:eastAsia="宋体" w:cs="宋体"/>
                <w:sz w:val="24"/>
                <w:szCs w:val="24"/>
              </w:rPr>
              <w:t>提供详细的接口文档；</w:t>
            </w:r>
          </w:p>
          <w:p w14:paraId="52F55C37">
            <w:pPr>
              <w:rPr>
                <w:rFonts w:hint="eastAsia" w:ascii="宋体" w:hAnsi="宋体" w:eastAsia="宋体" w:cs="宋体"/>
                <w:sz w:val="24"/>
                <w:szCs w:val="24"/>
              </w:rPr>
            </w:pPr>
            <w:r>
              <w:rPr>
                <w:rFonts w:hint="eastAsia" w:ascii="宋体" w:hAnsi="宋体" w:eastAsia="宋体" w:cs="宋体"/>
                <w:sz w:val="24"/>
                <w:szCs w:val="24"/>
              </w:rPr>
              <w:t>支持数据库数据、表格数据、web服务等多种接口方式。提供可视化界面；</w:t>
            </w:r>
          </w:p>
          <w:p w14:paraId="73134CB6">
            <w:pPr>
              <w:rPr>
                <w:rFonts w:hint="eastAsia" w:ascii="宋体" w:hAnsi="宋体" w:eastAsia="宋体" w:cs="宋体"/>
                <w:sz w:val="24"/>
                <w:szCs w:val="24"/>
              </w:rPr>
            </w:pPr>
            <w:r>
              <w:rPr>
                <w:rFonts w:hint="eastAsia" w:ascii="宋体" w:hAnsi="宋体" w:eastAsia="宋体" w:cs="宋体"/>
                <w:sz w:val="24"/>
                <w:szCs w:val="24"/>
              </w:rPr>
              <w:t>可以按照门诊、出院、在院分类采集。</w:t>
            </w:r>
          </w:p>
        </w:tc>
      </w:tr>
      <w:tr w14:paraId="1E22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F0A7DB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969" w:type="dxa"/>
            <w:tcBorders>
              <w:top w:val="single" w:color="auto" w:sz="4" w:space="0"/>
              <w:left w:val="single" w:color="auto" w:sz="4" w:space="0"/>
              <w:bottom w:val="single" w:color="auto" w:sz="4" w:space="0"/>
              <w:right w:val="single" w:color="auto" w:sz="4" w:space="0"/>
            </w:tcBorders>
            <w:vAlign w:val="center"/>
          </w:tcPr>
          <w:p w14:paraId="4F6DD4C6">
            <w:pPr>
              <w:rPr>
                <w:rFonts w:hint="eastAsia" w:ascii="宋体" w:hAnsi="宋体" w:eastAsia="宋体" w:cs="宋体"/>
                <w:sz w:val="24"/>
                <w:szCs w:val="24"/>
              </w:rPr>
            </w:pPr>
            <w:r>
              <w:rPr>
                <w:rFonts w:hint="eastAsia" w:ascii="宋体" w:hAnsi="宋体" w:eastAsia="宋体" w:cs="宋体"/>
                <w:sz w:val="24"/>
                <w:szCs w:val="24"/>
              </w:rPr>
              <w:t>数据集成能力：历史数据集成</w:t>
            </w:r>
          </w:p>
        </w:tc>
        <w:tc>
          <w:tcPr>
            <w:tcW w:w="5947" w:type="dxa"/>
            <w:tcBorders>
              <w:top w:val="single" w:color="auto" w:sz="4" w:space="0"/>
              <w:left w:val="single" w:color="auto" w:sz="4" w:space="0"/>
              <w:bottom w:val="single" w:color="auto" w:sz="4" w:space="0"/>
              <w:right w:val="single" w:color="auto" w:sz="4" w:space="0"/>
            </w:tcBorders>
            <w:vAlign w:val="top"/>
          </w:tcPr>
          <w:p w14:paraId="2A480968">
            <w:pPr>
              <w:rPr>
                <w:rFonts w:hint="eastAsia" w:ascii="宋体" w:hAnsi="宋体" w:eastAsia="宋体" w:cs="宋体"/>
                <w:sz w:val="24"/>
                <w:szCs w:val="24"/>
              </w:rPr>
            </w:pPr>
            <w:r>
              <w:rPr>
                <w:rFonts w:hint="eastAsia" w:ascii="宋体" w:hAnsi="宋体" w:eastAsia="宋体" w:cs="宋体"/>
                <w:sz w:val="24"/>
                <w:szCs w:val="24"/>
              </w:rPr>
              <w:t>对3个月的以患者为维度的全量数据集成，包括就诊信息、诊断信息、医嘱信息、护理信息、收费信息、医保结算信息等。</w:t>
            </w:r>
            <w:r>
              <w:rPr>
                <w:rFonts w:hint="eastAsia" w:ascii="宋体" w:hAnsi="宋体" w:eastAsia="宋体" w:cs="宋体"/>
                <w:sz w:val="24"/>
                <w:szCs w:val="24"/>
                <w:lang w:val="en-US" w:eastAsia="zh-CN"/>
              </w:rPr>
              <w:t>可</w:t>
            </w:r>
            <w:r>
              <w:rPr>
                <w:rFonts w:hint="eastAsia" w:ascii="宋体" w:hAnsi="宋体" w:eastAsia="宋体" w:cs="宋体"/>
                <w:sz w:val="24"/>
                <w:szCs w:val="24"/>
              </w:rPr>
              <w:t>提供详细的清单；</w:t>
            </w:r>
          </w:p>
          <w:p w14:paraId="61E2CB0E">
            <w:pPr>
              <w:rPr>
                <w:rFonts w:hint="eastAsia" w:ascii="宋体" w:hAnsi="宋体" w:eastAsia="宋体" w:cs="宋体"/>
                <w:sz w:val="24"/>
                <w:szCs w:val="24"/>
              </w:rPr>
            </w:pPr>
            <w:r>
              <w:rPr>
                <w:rFonts w:hint="eastAsia" w:ascii="宋体" w:hAnsi="宋体" w:eastAsia="宋体" w:cs="宋体"/>
                <w:sz w:val="24"/>
                <w:szCs w:val="24"/>
              </w:rPr>
              <w:t>可视化历史数据集成的情况，包括不限于任务信息、日志信息（成功/失败）。提供界面可视化。</w:t>
            </w:r>
          </w:p>
        </w:tc>
      </w:tr>
      <w:tr w14:paraId="57DC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59EED3D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969" w:type="dxa"/>
            <w:tcBorders>
              <w:top w:val="single" w:color="auto" w:sz="4" w:space="0"/>
              <w:left w:val="single" w:color="auto" w:sz="4" w:space="0"/>
              <w:bottom w:val="single" w:color="auto" w:sz="4" w:space="0"/>
              <w:right w:val="single" w:color="auto" w:sz="4" w:space="0"/>
            </w:tcBorders>
            <w:vAlign w:val="center"/>
          </w:tcPr>
          <w:p w14:paraId="31691C2F">
            <w:pPr>
              <w:rPr>
                <w:rFonts w:hint="eastAsia" w:ascii="宋体" w:hAnsi="宋体" w:eastAsia="宋体" w:cs="宋体"/>
                <w:sz w:val="24"/>
                <w:szCs w:val="24"/>
              </w:rPr>
            </w:pPr>
            <w:r>
              <w:rPr>
                <w:rFonts w:hint="eastAsia" w:ascii="宋体" w:hAnsi="宋体" w:eastAsia="宋体" w:cs="宋体"/>
                <w:sz w:val="24"/>
                <w:szCs w:val="24"/>
              </w:rPr>
              <w:t>数据质控能力：元数据管理</w:t>
            </w:r>
          </w:p>
        </w:tc>
        <w:tc>
          <w:tcPr>
            <w:tcW w:w="5947" w:type="dxa"/>
            <w:tcBorders>
              <w:top w:val="single" w:color="auto" w:sz="4" w:space="0"/>
              <w:left w:val="single" w:color="auto" w:sz="4" w:space="0"/>
              <w:bottom w:val="single" w:color="auto" w:sz="4" w:space="0"/>
              <w:right w:val="single" w:color="auto" w:sz="4" w:space="0"/>
            </w:tcBorders>
            <w:vAlign w:val="top"/>
          </w:tcPr>
          <w:p w14:paraId="4A3952F1">
            <w:pPr>
              <w:rPr>
                <w:rFonts w:hint="eastAsia" w:ascii="宋体" w:hAnsi="宋体" w:eastAsia="宋体" w:cs="宋体"/>
                <w:sz w:val="24"/>
                <w:szCs w:val="24"/>
              </w:rPr>
            </w:pPr>
            <w:r>
              <w:rPr>
                <w:rFonts w:hint="eastAsia" w:ascii="宋体" w:hAnsi="宋体" w:eastAsia="宋体" w:cs="宋体"/>
                <w:sz w:val="24"/>
                <w:szCs w:val="24"/>
              </w:rPr>
              <w:t>可查看整个数据流的库/表说明；</w:t>
            </w:r>
          </w:p>
          <w:p w14:paraId="18CAB1E4">
            <w:pPr>
              <w:rPr>
                <w:rFonts w:hint="eastAsia" w:ascii="宋体" w:hAnsi="宋体" w:eastAsia="宋体" w:cs="宋体"/>
                <w:sz w:val="24"/>
                <w:szCs w:val="24"/>
              </w:rPr>
            </w:pPr>
            <w:r>
              <w:rPr>
                <w:rFonts w:hint="eastAsia" w:ascii="宋体" w:hAnsi="宋体" w:eastAsia="宋体" w:cs="宋体"/>
                <w:sz w:val="24"/>
                <w:szCs w:val="24"/>
              </w:rPr>
              <w:t>可查看数据流表级别的血缘关系。</w:t>
            </w:r>
          </w:p>
        </w:tc>
      </w:tr>
      <w:tr w14:paraId="2940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6F9DCD9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69" w:type="dxa"/>
            <w:tcBorders>
              <w:top w:val="single" w:color="auto" w:sz="4" w:space="0"/>
              <w:left w:val="single" w:color="auto" w:sz="4" w:space="0"/>
              <w:bottom w:val="single" w:color="auto" w:sz="4" w:space="0"/>
              <w:right w:val="single" w:color="auto" w:sz="4" w:space="0"/>
            </w:tcBorders>
            <w:vAlign w:val="center"/>
          </w:tcPr>
          <w:p w14:paraId="6E801F21">
            <w:pPr>
              <w:rPr>
                <w:rFonts w:hint="eastAsia" w:ascii="宋体" w:hAnsi="宋体" w:eastAsia="宋体" w:cs="宋体"/>
                <w:sz w:val="24"/>
                <w:szCs w:val="24"/>
              </w:rPr>
            </w:pPr>
            <w:r>
              <w:rPr>
                <w:rFonts w:hint="eastAsia" w:ascii="宋体" w:hAnsi="宋体" w:eastAsia="宋体" w:cs="宋体"/>
                <w:sz w:val="24"/>
                <w:szCs w:val="24"/>
              </w:rPr>
              <w:t>数据质控能力：主数据管理</w:t>
            </w:r>
          </w:p>
        </w:tc>
        <w:tc>
          <w:tcPr>
            <w:tcW w:w="5947" w:type="dxa"/>
            <w:tcBorders>
              <w:top w:val="single" w:color="auto" w:sz="4" w:space="0"/>
              <w:left w:val="single" w:color="auto" w:sz="4" w:space="0"/>
              <w:bottom w:val="single" w:color="auto" w:sz="4" w:space="0"/>
              <w:right w:val="single" w:color="auto" w:sz="4" w:space="0"/>
            </w:tcBorders>
            <w:vAlign w:val="top"/>
          </w:tcPr>
          <w:p w14:paraId="5A4CB32E">
            <w:pPr>
              <w:rPr>
                <w:rFonts w:hint="eastAsia" w:ascii="宋体" w:hAnsi="宋体" w:eastAsia="宋体" w:cs="宋体"/>
                <w:sz w:val="24"/>
                <w:szCs w:val="24"/>
              </w:rPr>
            </w:pPr>
            <w:r>
              <w:rPr>
                <w:rFonts w:hint="eastAsia" w:ascii="宋体" w:hAnsi="宋体" w:eastAsia="宋体" w:cs="宋体"/>
                <w:sz w:val="24"/>
                <w:szCs w:val="24"/>
              </w:rPr>
              <w:t>完整的字典表、及基于真实数据的字典映射；</w:t>
            </w:r>
          </w:p>
          <w:p w14:paraId="6337AD78">
            <w:pPr>
              <w:rPr>
                <w:rFonts w:hint="eastAsia" w:ascii="宋体" w:hAnsi="宋体" w:eastAsia="宋体" w:cs="宋体"/>
                <w:sz w:val="24"/>
                <w:szCs w:val="24"/>
              </w:rPr>
            </w:pPr>
            <w:r>
              <w:rPr>
                <w:rFonts w:hint="eastAsia" w:ascii="宋体" w:hAnsi="宋体" w:eastAsia="宋体" w:cs="宋体"/>
                <w:sz w:val="24"/>
                <w:szCs w:val="24"/>
              </w:rPr>
              <w:t>用户可自定义字典映射值；</w:t>
            </w:r>
          </w:p>
          <w:p w14:paraId="6D5A5DF5">
            <w:pPr>
              <w:rPr>
                <w:rFonts w:hint="eastAsia" w:ascii="宋体" w:hAnsi="宋体" w:eastAsia="宋体" w:cs="宋体"/>
                <w:sz w:val="24"/>
                <w:szCs w:val="24"/>
              </w:rPr>
            </w:pPr>
            <w:r>
              <w:rPr>
                <w:rFonts w:hint="eastAsia" w:ascii="宋体" w:hAnsi="宋体" w:eastAsia="宋体" w:cs="宋体"/>
                <w:sz w:val="24"/>
                <w:szCs w:val="24"/>
              </w:rPr>
              <w:t>医院的科室字典等主数据维护。</w:t>
            </w:r>
          </w:p>
        </w:tc>
      </w:tr>
      <w:tr w14:paraId="398C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322EB58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969" w:type="dxa"/>
            <w:tcBorders>
              <w:top w:val="single" w:color="auto" w:sz="4" w:space="0"/>
              <w:left w:val="single" w:color="auto" w:sz="4" w:space="0"/>
              <w:bottom w:val="single" w:color="auto" w:sz="4" w:space="0"/>
              <w:right w:val="single" w:color="auto" w:sz="4" w:space="0"/>
            </w:tcBorders>
            <w:vAlign w:val="center"/>
          </w:tcPr>
          <w:p w14:paraId="6731E11F">
            <w:pPr>
              <w:rPr>
                <w:rFonts w:hint="eastAsia" w:ascii="宋体" w:hAnsi="宋体" w:eastAsia="宋体" w:cs="宋体"/>
                <w:sz w:val="24"/>
                <w:szCs w:val="24"/>
              </w:rPr>
            </w:pPr>
            <w:r>
              <w:rPr>
                <w:rFonts w:hint="eastAsia" w:ascii="宋体" w:hAnsi="宋体" w:eastAsia="宋体" w:cs="宋体"/>
                <w:sz w:val="24"/>
                <w:szCs w:val="24"/>
              </w:rPr>
              <w:t>数据质控能力：预处理能力</w:t>
            </w:r>
          </w:p>
        </w:tc>
        <w:tc>
          <w:tcPr>
            <w:tcW w:w="5947" w:type="dxa"/>
            <w:tcBorders>
              <w:top w:val="single" w:color="auto" w:sz="4" w:space="0"/>
              <w:left w:val="single" w:color="auto" w:sz="4" w:space="0"/>
              <w:bottom w:val="single" w:color="auto" w:sz="4" w:space="0"/>
              <w:right w:val="single" w:color="auto" w:sz="4" w:space="0"/>
            </w:tcBorders>
            <w:vAlign w:val="top"/>
          </w:tcPr>
          <w:p w14:paraId="27D05708">
            <w:pPr>
              <w:rPr>
                <w:rFonts w:hint="eastAsia" w:ascii="宋体" w:hAnsi="宋体" w:eastAsia="宋体" w:cs="宋体"/>
                <w:sz w:val="24"/>
                <w:szCs w:val="24"/>
              </w:rPr>
            </w:pPr>
            <w:r>
              <w:rPr>
                <w:rFonts w:hint="eastAsia" w:ascii="宋体" w:hAnsi="宋体" w:eastAsia="宋体" w:cs="宋体"/>
                <w:sz w:val="24"/>
                <w:szCs w:val="24"/>
              </w:rPr>
              <w:t>支持字典映射，实现数据的初始化归一；支持日期格式的提取；支持大文本的章节拆解；支持数值的提取；支持数据加密；支持空格处理；支持自定义配置字段的处理方式；</w:t>
            </w:r>
          </w:p>
          <w:p w14:paraId="68236A55">
            <w:pPr>
              <w:rPr>
                <w:rFonts w:hint="eastAsia" w:ascii="宋体" w:hAnsi="宋体" w:eastAsia="宋体" w:cs="宋体"/>
                <w:sz w:val="24"/>
                <w:szCs w:val="24"/>
              </w:rPr>
            </w:pPr>
            <w:r>
              <w:rPr>
                <w:rFonts w:hint="eastAsia" w:ascii="宋体" w:hAnsi="宋体" w:eastAsia="宋体" w:cs="宋体"/>
                <w:sz w:val="24"/>
                <w:szCs w:val="24"/>
              </w:rPr>
              <w:t>以上内容均支持现场自定义，界面可视化；</w:t>
            </w:r>
          </w:p>
          <w:p w14:paraId="38569EAE">
            <w:pPr>
              <w:rPr>
                <w:rFonts w:hint="eastAsia" w:ascii="宋体" w:hAnsi="宋体" w:eastAsia="宋体" w:cs="宋体"/>
                <w:sz w:val="24"/>
                <w:szCs w:val="24"/>
              </w:rPr>
            </w:pPr>
            <w:r>
              <w:rPr>
                <w:rFonts w:hint="eastAsia" w:ascii="宋体" w:hAnsi="宋体" w:eastAsia="宋体" w:cs="宋体"/>
                <w:sz w:val="24"/>
                <w:szCs w:val="24"/>
              </w:rPr>
              <w:t>提供详细的预处理清单方案。</w:t>
            </w:r>
          </w:p>
        </w:tc>
      </w:tr>
      <w:tr w14:paraId="40EE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3025AFD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969" w:type="dxa"/>
            <w:tcBorders>
              <w:top w:val="single" w:color="auto" w:sz="4" w:space="0"/>
              <w:left w:val="single" w:color="auto" w:sz="4" w:space="0"/>
              <w:bottom w:val="single" w:color="auto" w:sz="4" w:space="0"/>
              <w:right w:val="single" w:color="auto" w:sz="4" w:space="0"/>
            </w:tcBorders>
            <w:vAlign w:val="center"/>
          </w:tcPr>
          <w:p w14:paraId="13AE9AC0">
            <w:pPr>
              <w:rPr>
                <w:rFonts w:hint="eastAsia" w:ascii="宋体" w:hAnsi="宋体" w:eastAsia="宋体" w:cs="宋体"/>
                <w:sz w:val="24"/>
                <w:szCs w:val="24"/>
              </w:rPr>
            </w:pPr>
            <w:r>
              <w:rPr>
                <w:rFonts w:hint="eastAsia" w:ascii="宋体" w:hAnsi="宋体" w:eastAsia="宋体" w:cs="宋体"/>
                <w:sz w:val="24"/>
                <w:szCs w:val="24"/>
              </w:rPr>
              <w:t>数据质控能力</w:t>
            </w:r>
          </w:p>
        </w:tc>
        <w:tc>
          <w:tcPr>
            <w:tcW w:w="5947" w:type="dxa"/>
            <w:tcBorders>
              <w:top w:val="single" w:color="auto" w:sz="4" w:space="0"/>
              <w:left w:val="single" w:color="auto" w:sz="4" w:space="0"/>
              <w:bottom w:val="single" w:color="auto" w:sz="4" w:space="0"/>
              <w:right w:val="single" w:color="auto" w:sz="4" w:space="0"/>
            </w:tcBorders>
            <w:vAlign w:val="top"/>
          </w:tcPr>
          <w:p w14:paraId="219EEE8E">
            <w:pPr>
              <w:rPr>
                <w:rFonts w:hint="eastAsia" w:ascii="宋体" w:hAnsi="宋体" w:eastAsia="宋体" w:cs="宋体"/>
                <w:sz w:val="24"/>
                <w:szCs w:val="24"/>
              </w:rPr>
            </w:pPr>
            <w:r>
              <w:rPr>
                <w:rFonts w:hint="eastAsia" w:ascii="宋体" w:hAnsi="宋体" w:eastAsia="宋体" w:cs="宋体"/>
                <w:sz w:val="24"/>
                <w:szCs w:val="24"/>
              </w:rPr>
              <w:t>支持完整性</w:t>
            </w:r>
            <w:r>
              <w:rPr>
                <w:rFonts w:hint="eastAsia" w:ascii="宋体" w:hAnsi="宋体" w:eastAsia="宋体" w:cs="宋体"/>
                <w:sz w:val="24"/>
                <w:szCs w:val="24"/>
                <w:lang w:eastAsia="zh-CN"/>
              </w:rPr>
              <w:t>、</w:t>
            </w:r>
            <w:r>
              <w:rPr>
                <w:rFonts w:hint="eastAsia" w:ascii="宋体" w:hAnsi="宋体" w:eastAsia="宋体" w:cs="宋体"/>
                <w:sz w:val="24"/>
                <w:szCs w:val="24"/>
              </w:rPr>
              <w:t>唯一性</w:t>
            </w:r>
            <w:r>
              <w:rPr>
                <w:rFonts w:hint="eastAsia" w:ascii="宋体" w:hAnsi="宋体" w:eastAsia="宋体" w:cs="宋体"/>
                <w:sz w:val="24"/>
                <w:szCs w:val="24"/>
                <w:lang w:eastAsia="zh-CN"/>
              </w:rPr>
              <w:t>、</w:t>
            </w:r>
            <w:r>
              <w:rPr>
                <w:rFonts w:hint="eastAsia" w:ascii="宋体" w:hAnsi="宋体" w:eastAsia="宋体" w:cs="宋体"/>
                <w:sz w:val="24"/>
                <w:szCs w:val="24"/>
              </w:rPr>
              <w:t>关联性检查，支持某个条件下必须为空、支持某个条件下必须不为空；</w:t>
            </w:r>
          </w:p>
          <w:p w14:paraId="1FD10E47">
            <w:pPr>
              <w:rPr>
                <w:rFonts w:hint="eastAsia" w:ascii="宋体" w:hAnsi="宋体" w:eastAsia="宋体" w:cs="宋体"/>
                <w:sz w:val="24"/>
                <w:szCs w:val="24"/>
              </w:rPr>
            </w:pPr>
            <w:r>
              <w:rPr>
                <w:rFonts w:hint="eastAsia" w:ascii="宋体" w:hAnsi="宋体" w:eastAsia="宋体" w:cs="宋体"/>
                <w:sz w:val="24"/>
                <w:szCs w:val="24"/>
              </w:rPr>
              <w:t>支持日期格式</w:t>
            </w:r>
            <w:r>
              <w:rPr>
                <w:rFonts w:hint="eastAsia" w:ascii="宋体" w:hAnsi="宋体" w:eastAsia="宋体" w:cs="宋体"/>
                <w:sz w:val="24"/>
                <w:szCs w:val="24"/>
                <w:lang w:eastAsia="zh-CN"/>
              </w:rPr>
              <w:t>、</w:t>
            </w:r>
            <w:r>
              <w:rPr>
                <w:rFonts w:hint="eastAsia" w:ascii="宋体" w:hAnsi="宋体" w:eastAsia="宋体" w:cs="宋体"/>
                <w:sz w:val="24"/>
                <w:szCs w:val="24"/>
              </w:rPr>
              <w:t>数值格式</w:t>
            </w:r>
            <w:r>
              <w:rPr>
                <w:rFonts w:hint="eastAsia" w:ascii="宋体" w:hAnsi="宋体" w:eastAsia="宋体" w:cs="宋体"/>
                <w:sz w:val="24"/>
                <w:szCs w:val="24"/>
                <w:lang w:eastAsia="zh-CN"/>
              </w:rPr>
              <w:t>、</w:t>
            </w:r>
            <w:r>
              <w:rPr>
                <w:rFonts w:hint="eastAsia" w:ascii="宋体" w:hAnsi="宋体" w:eastAsia="宋体" w:cs="宋体"/>
                <w:sz w:val="24"/>
                <w:szCs w:val="24"/>
              </w:rPr>
              <w:t>质控标准配置、权重配置等</w:t>
            </w:r>
            <w:r>
              <w:rPr>
                <w:rFonts w:hint="eastAsia" w:ascii="宋体" w:hAnsi="宋体" w:eastAsia="宋体" w:cs="宋体"/>
                <w:sz w:val="24"/>
                <w:szCs w:val="24"/>
                <w:lang w:val="en-US" w:eastAsia="zh-CN"/>
              </w:rPr>
              <w:t>功能</w:t>
            </w:r>
            <w:r>
              <w:rPr>
                <w:rFonts w:hint="eastAsia" w:ascii="宋体" w:hAnsi="宋体" w:eastAsia="宋体" w:cs="宋体"/>
                <w:sz w:val="24"/>
                <w:szCs w:val="24"/>
              </w:rPr>
              <w:t>。</w:t>
            </w:r>
          </w:p>
        </w:tc>
      </w:tr>
      <w:tr w14:paraId="43DB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3FE9CC9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969" w:type="dxa"/>
            <w:tcBorders>
              <w:top w:val="single" w:color="auto" w:sz="4" w:space="0"/>
              <w:left w:val="single" w:color="auto" w:sz="4" w:space="0"/>
              <w:bottom w:val="single" w:color="auto" w:sz="4" w:space="0"/>
              <w:right w:val="single" w:color="auto" w:sz="4" w:space="0"/>
            </w:tcBorders>
            <w:vAlign w:val="center"/>
          </w:tcPr>
          <w:p w14:paraId="19F4C162">
            <w:pPr>
              <w:rPr>
                <w:rFonts w:hint="eastAsia" w:ascii="宋体" w:hAnsi="宋体" w:eastAsia="宋体" w:cs="宋体"/>
                <w:sz w:val="24"/>
                <w:szCs w:val="24"/>
              </w:rPr>
            </w:pPr>
            <w:r>
              <w:rPr>
                <w:rFonts w:hint="eastAsia" w:ascii="宋体" w:hAnsi="宋体" w:eastAsia="宋体" w:cs="宋体"/>
                <w:sz w:val="24"/>
                <w:szCs w:val="24"/>
              </w:rPr>
              <w:t>数据治理能力：标准化能力</w:t>
            </w:r>
          </w:p>
        </w:tc>
        <w:tc>
          <w:tcPr>
            <w:tcW w:w="5947" w:type="dxa"/>
            <w:tcBorders>
              <w:top w:val="single" w:color="auto" w:sz="4" w:space="0"/>
              <w:left w:val="single" w:color="auto" w:sz="4" w:space="0"/>
              <w:bottom w:val="single" w:color="auto" w:sz="4" w:space="0"/>
              <w:right w:val="single" w:color="auto" w:sz="4" w:space="0"/>
            </w:tcBorders>
            <w:vAlign w:val="top"/>
          </w:tcPr>
          <w:p w14:paraId="768AD174">
            <w:pPr>
              <w:rPr>
                <w:rFonts w:hint="eastAsia" w:ascii="宋体" w:hAnsi="宋体" w:eastAsia="宋体" w:cs="宋体"/>
                <w:sz w:val="24"/>
                <w:szCs w:val="24"/>
              </w:rPr>
            </w:pPr>
            <w:r>
              <w:rPr>
                <w:rFonts w:hint="eastAsia" w:ascii="宋体" w:hAnsi="宋体" w:eastAsia="宋体" w:cs="宋体"/>
                <w:sz w:val="24"/>
                <w:szCs w:val="24"/>
              </w:rPr>
              <w:t>支持归一化模型管理；</w:t>
            </w:r>
          </w:p>
          <w:p w14:paraId="2540F8F7">
            <w:pPr>
              <w:rPr>
                <w:rFonts w:hint="eastAsia" w:ascii="宋体" w:hAnsi="宋体" w:eastAsia="宋体" w:cs="宋体"/>
                <w:sz w:val="24"/>
                <w:szCs w:val="24"/>
              </w:rPr>
            </w:pPr>
            <w:r>
              <w:rPr>
                <w:rFonts w:hint="eastAsia" w:ascii="宋体" w:hAnsi="宋体" w:eastAsia="宋体" w:cs="宋体"/>
                <w:sz w:val="24"/>
                <w:szCs w:val="24"/>
              </w:rPr>
              <w:t>支持可自定义配置输出字段；</w:t>
            </w:r>
          </w:p>
          <w:p w14:paraId="76DE9091">
            <w:pPr>
              <w:rPr>
                <w:rFonts w:hint="eastAsia" w:ascii="宋体" w:hAnsi="宋体" w:eastAsia="宋体" w:cs="宋体"/>
                <w:sz w:val="24"/>
                <w:szCs w:val="24"/>
              </w:rPr>
            </w:pPr>
            <w:r>
              <w:rPr>
                <w:rFonts w:hint="eastAsia" w:ascii="宋体" w:hAnsi="宋体" w:eastAsia="宋体" w:cs="宋体"/>
                <w:sz w:val="24"/>
                <w:szCs w:val="24"/>
              </w:rPr>
              <w:t>支持NLP实体识别结果的归一化。</w:t>
            </w:r>
          </w:p>
        </w:tc>
      </w:tr>
      <w:tr w14:paraId="3569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33E9E47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969" w:type="dxa"/>
            <w:tcBorders>
              <w:top w:val="single" w:color="auto" w:sz="4" w:space="0"/>
              <w:left w:val="single" w:color="auto" w:sz="4" w:space="0"/>
              <w:bottom w:val="single" w:color="auto" w:sz="4" w:space="0"/>
              <w:right w:val="single" w:color="auto" w:sz="4" w:space="0"/>
            </w:tcBorders>
            <w:vAlign w:val="center"/>
          </w:tcPr>
          <w:p w14:paraId="34476918">
            <w:pPr>
              <w:rPr>
                <w:rFonts w:hint="eastAsia" w:ascii="宋体" w:hAnsi="宋体" w:eastAsia="宋体" w:cs="宋体"/>
                <w:sz w:val="24"/>
                <w:szCs w:val="24"/>
              </w:rPr>
            </w:pPr>
            <w:r>
              <w:rPr>
                <w:rFonts w:hint="eastAsia" w:ascii="宋体" w:hAnsi="宋体" w:eastAsia="宋体" w:cs="宋体"/>
                <w:sz w:val="24"/>
                <w:szCs w:val="24"/>
              </w:rPr>
              <w:t>数据治理能力：结构化能力</w:t>
            </w:r>
          </w:p>
        </w:tc>
        <w:tc>
          <w:tcPr>
            <w:tcW w:w="5947" w:type="dxa"/>
            <w:tcBorders>
              <w:top w:val="single" w:color="auto" w:sz="4" w:space="0"/>
              <w:left w:val="single" w:color="auto" w:sz="4" w:space="0"/>
              <w:bottom w:val="single" w:color="auto" w:sz="4" w:space="0"/>
              <w:right w:val="single" w:color="auto" w:sz="4" w:space="0"/>
            </w:tcBorders>
            <w:vAlign w:val="top"/>
          </w:tcPr>
          <w:p w14:paraId="6E9B63F7">
            <w:pPr>
              <w:rPr>
                <w:rFonts w:hint="eastAsia" w:ascii="宋体" w:hAnsi="宋体" w:eastAsia="宋体" w:cs="宋体"/>
                <w:sz w:val="24"/>
                <w:szCs w:val="24"/>
              </w:rPr>
            </w:pPr>
            <w:r>
              <w:rPr>
                <w:rFonts w:hint="eastAsia" w:ascii="宋体" w:hAnsi="宋体" w:eastAsia="宋体" w:cs="宋体"/>
                <w:sz w:val="24"/>
                <w:szCs w:val="24"/>
              </w:rPr>
              <w:t>支持结构化模型管理；</w:t>
            </w:r>
          </w:p>
          <w:p w14:paraId="52A7BD83">
            <w:pPr>
              <w:rPr>
                <w:rFonts w:hint="eastAsia" w:ascii="宋体" w:hAnsi="宋体" w:eastAsia="宋体" w:cs="宋体"/>
                <w:sz w:val="24"/>
                <w:szCs w:val="24"/>
              </w:rPr>
            </w:pPr>
            <w:r>
              <w:rPr>
                <w:rFonts w:hint="eastAsia" w:ascii="宋体" w:hAnsi="宋体" w:eastAsia="宋体" w:cs="宋体"/>
                <w:sz w:val="24"/>
                <w:szCs w:val="24"/>
              </w:rPr>
              <w:t>支持可自定义配置输出的实体、关系、二维表；</w:t>
            </w:r>
          </w:p>
          <w:p w14:paraId="445DA51C">
            <w:pPr>
              <w:rPr>
                <w:rFonts w:hint="eastAsia" w:ascii="宋体" w:hAnsi="宋体" w:eastAsia="宋体" w:cs="宋体"/>
                <w:sz w:val="24"/>
                <w:szCs w:val="24"/>
              </w:rPr>
            </w:pPr>
            <w:r>
              <w:rPr>
                <w:rFonts w:hint="eastAsia" w:ascii="宋体" w:hAnsi="宋体" w:eastAsia="宋体" w:cs="宋体"/>
                <w:sz w:val="24"/>
                <w:szCs w:val="24"/>
              </w:rPr>
              <w:t>支持现病史、既往史、辅助检查、病理报告、影像报告、出院小结等基于国家癌症中心国家肿瘤质控中心17个癌种规范化诊疗质量控制指标（2022版）、国家卫健委《肿瘤专业医疗质量控制指标（2023版）》、国家卫健委《国家三级公立医院绩效考核操作手册（</w:t>
            </w:r>
            <w:r>
              <w:rPr>
                <w:rFonts w:hint="eastAsia" w:ascii="宋体" w:hAnsi="宋体" w:cs="宋体"/>
                <w:sz w:val="24"/>
                <w:szCs w:val="24"/>
                <w:lang w:eastAsia="zh-CN"/>
              </w:rPr>
              <w:t>202</w:t>
            </w:r>
            <w:r>
              <w:rPr>
                <w:rFonts w:hint="eastAsia" w:ascii="宋体" w:hAnsi="宋体" w:cs="宋体"/>
                <w:sz w:val="24"/>
                <w:szCs w:val="24"/>
                <w:lang w:val="en-US" w:eastAsia="zh-CN"/>
              </w:rPr>
              <w:t>4</w:t>
            </w:r>
            <w:bookmarkStart w:id="0" w:name="_GoBack"/>
            <w:bookmarkEnd w:id="0"/>
            <w:r>
              <w:rPr>
                <w:rFonts w:hint="eastAsia" w:ascii="宋体" w:hAnsi="宋体" w:eastAsia="宋体" w:cs="宋体"/>
                <w:sz w:val="24"/>
                <w:szCs w:val="24"/>
              </w:rPr>
              <w:t>版）》肿瘤指标相关需求的文本结构化；</w:t>
            </w:r>
          </w:p>
          <w:p w14:paraId="4597EF2E">
            <w:pPr>
              <w:rPr>
                <w:rFonts w:hint="eastAsia" w:ascii="宋体" w:hAnsi="宋体" w:eastAsia="宋体" w:cs="宋体"/>
                <w:sz w:val="24"/>
                <w:szCs w:val="24"/>
              </w:rPr>
            </w:pPr>
            <w:r>
              <w:rPr>
                <w:rFonts w:hint="eastAsia" w:ascii="宋体" w:hAnsi="宋体" w:eastAsia="宋体" w:cs="宋体"/>
                <w:sz w:val="24"/>
                <w:szCs w:val="24"/>
              </w:rPr>
              <w:t>支持诊断名称的TNM分期结构化；</w:t>
            </w:r>
          </w:p>
          <w:p w14:paraId="749A1207">
            <w:pPr>
              <w:rPr>
                <w:rFonts w:hint="eastAsia" w:ascii="宋体" w:hAnsi="宋体" w:eastAsia="宋体" w:cs="宋体"/>
                <w:sz w:val="24"/>
                <w:szCs w:val="24"/>
              </w:rPr>
            </w:pPr>
            <w:r>
              <w:rPr>
                <w:rFonts w:hint="eastAsia" w:ascii="宋体" w:hAnsi="宋体" w:eastAsia="宋体" w:cs="宋体"/>
                <w:sz w:val="24"/>
                <w:szCs w:val="24"/>
              </w:rPr>
              <w:t>支持文本提取手术名称、药物名称、诊断名称、临床分期、TNM分期、病理诊断、药物类别、药物治疗方案、检查项目名称、放疗、不良反应等信息。</w:t>
            </w:r>
          </w:p>
        </w:tc>
      </w:tr>
    </w:tbl>
    <w:p w14:paraId="43BEEF4F">
      <w:pPr>
        <w:rPr>
          <w:rFonts w:ascii="仿宋" w:hAnsi="仿宋" w:eastAsia="仿宋" w:cs="仿宋_GB2312"/>
          <w:b/>
          <w:bCs/>
          <w:sz w:val="32"/>
          <w:szCs w:val="32"/>
        </w:rPr>
      </w:pPr>
    </w:p>
    <w:p w14:paraId="64DC6C19">
      <w:pPr>
        <w:numPr>
          <w:ilvl w:val="0"/>
          <w:numId w:val="1"/>
        </w:numPr>
        <w:rPr>
          <w:rFonts w:ascii="仿宋" w:hAnsi="仿宋" w:eastAsia="仿宋" w:cs="仿宋_GB2312"/>
          <w:b/>
          <w:bCs/>
          <w:sz w:val="32"/>
          <w:szCs w:val="32"/>
        </w:rPr>
      </w:pPr>
      <w:r>
        <w:rPr>
          <w:rFonts w:hint="eastAsia" w:ascii="仿宋" w:hAnsi="仿宋" w:eastAsia="仿宋" w:cs="仿宋_GB2312"/>
          <w:b/>
          <w:bCs/>
          <w:sz w:val="32"/>
          <w:szCs w:val="32"/>
        </w:rPr>
        <w:t>其他要求</w:t>
      </w:r>
    </w:p>
    <w:p w14:paraId="0F1CFB0A">
      <w:pPr>
        <w:pStyle w:val="17"/>
        <w:numPr>
          <w:ilvl w:val="0"/>
          <w:numId w:val="0"/>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1、应结合我院实际医疗及管理需要，对系统进行客户化修改，包括但不限于结合医院实际管理需求；同时不得使用主管部门禁止使用的操作系统及数据库。</w:t>
      </w:r>
    </w:p>
    <w:p w14:paraId="3ADA897C">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本项目需符合国产化要求，必须配备正版的国产化操作系统、数据库、中间件及前端国产化工作站。同时本项目验收前须提供福建省信息技术应用创新适配中心开展的信息技术应用创新符合性测试，并提供相关的证明。</w:t>
      </w:r>
    </w:p>
    <w:p w14:paraId="59B6F80D">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本项目系统需符合《信息安全技术网络安全等级保护基本要求》GB/T22239-2019（三级）要求（下文简称：三级等保2.0），并在三级等保2.0评审中协助完成本系统评审工作。</w:t>
      </w:r>
    </w:p>
    <w:p w14:paraId="759C8AE9">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年内免费实施政策性国家、省市各平台的数据接口、数据上传等服务及免费实施国密改造、国产化改造，包括但不限于：福建省卫健委居民健康综合服务平台、福建省检查检验结果互联互通互认平台、福建省卫健委多码融合项目等，产生相应指标，推送至医疗平台接口中（涉及其他系统，应与其他系统配合实施）。</w:t>
      </w:r>
    </w:p>
    <w:p w14:paraId="4D8D520A">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w:t>
      </w:r>
    </w:p>
    <w:p w14:paraId="4570D6E7">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14:paraId="1D54A2ED">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14:paraId="3EB24327">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根据国家《医院信息系统功能规范》第十二条以及国家信息化建设审计要求，必须提供完整的总体设计报告、需求分析说明</w:t>
      </w:r>
      <w:r>
        <w:rPr>
          <w:rFonts w:hint="eastAsia" w:ascii="仿宋_GB2312" w:hAnsi="仿宋_GB2312" w:eastAsia="仿宋_GB2312" w:cs="仿宋_GB2312"/>
          <w:strike w:val="0"/>
          <w:dstrike w:val="0"/>
          <w:color w:val="auto"/>
          <w:sz w:val="32"/>
          <w:szCs w:val="32"/>
          <w:lang w:val="en-US" w:eastAsia="zh-CN"/>
        </w:rPr>
        <w:t>书、上线</w:t>
      </w:r>
      <w:r>
        <w:rPr>
          <w:rFonts w:hint="eastAsia" w:ascii="仿宋_GB2312" w:hAnsi="仿宋_GB2312" w:eastAsia="仿宋_GB2312" w:cs="仿宋_GB2312"/>
          <w:color w:val="auto"/>
          <w:sz w:val="32"/>
          <w:szCs w:val="32"/>
          <w:lang w:val="en-US" w:eastAsia="zh-CN"/>
        </w:rPr>
        <w:t>测试报告、操作使用手册、系统维护手册等。</w:t>
      </w:r>
    </w:p>
    <w:p w14:paraId="38F4BDD5">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14:paraId="28E61666">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14:paraId="33BABD33">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14:paraId="4BC6E785">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若需接入医院APP(实现院外移动端查询)，则中标人应提供H5接口，并支付相应接口费用（不超过3万元），</w:t>
      </w:r>
      <w:r>
        <w:rPr>
          <w:rFonts w:hint="eastAsia" w:ascii="仿宋_GB2312" w:hAnsi="仿宋_GB2312" w:eastAsia="仿宋_GB2312" w:cs="仿宋_GB2312"/>
          <w:color w:val="auto"/>
          <w:sz w:val="32"/>
          <w:szCs w:val="32"/>
          <w:lang w:val="en-US" w:eastAsia="zh-CN"/>
        </w:rPr>
        <w:t>是否需接入医院APP以项目验收时采购人需求为准。</w:t>
      </w:r>
    </w:p>
    <w:p w14:paraId="2894108E">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w:t>
      </w:r>
    </w:p>
    <w:p w14:paraId="2C88623E">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14:paraId="73DCBC8A">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本项目系统需完成旧系统中的历史数据导入，旧系统中非自动产生的数据（如手工输入值等），在新系统中可不体现或以默认值体现。若有涉及接口费用，由中标方负责，采购人不再向中标人支付接口费用。</w:t>
      </w:r>
    </w:p>
    <w:p w14:paraId="285017B2">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14:paraId="7CAC98A3">
      <w:pPr>
        <w:pStyle w:val="17"/>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14:paraId="0CCAB0EB">
      <w:pPr>
        <w:pStyle w:val="2"/>
        <w:widowControl w:val="0"/>
        <w:numPr>
          <w:ilvl w:val="0"/>
          <w:numId w:val="1"/>
        </w:numPr>
        <w:overflowPunct w:val="0"/>
        <w:autoSpaceDE w:val="0"/>
        <w:autoSpaceDN w:val="0"/>
        <w:adjustRightInd w:val="0"/>
        <w:ind w:left="0" w:leftChars="0" w:firstLine="0" w:firstLineChars="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调研说明</w:t>
      </w:r>
    </w:p>
    <w:p w14:paraId="6AB18808">
      <w:pPr>
        <w:shd w:val="solid" w:color="FFFFFF" w:fill="auto"/>
        <w:autoSpaceDN w:val="0"/>
        <w:spacing w:line="560" w:lineRule="exact"/>
        <w:ind w:firstLine="640" w:firstLineChars="200"/>
        <w:jc w:val="both"/>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val="en-US" w:eastAsia="zh-CN"/>
        </w:rPr>
        <w:t>报名参加本次</w:t>
      </w:r>
      <w:r>
        <w:rPr>
          <w:rFonts w:hint="eastAsia" w:ascii="仿宋_GB2312" w:hAnsi="仿宋_GB2312" w:eastAsia="仿宋_GB2312" w:cs="仿宋_GB2312"/>
          <w:b w:val="0"/>
          <w:bCs/>
          <w:sz w:val="32"/>
          <w:szCs w:val="32"/>
          <w:shd w:val="clear" w:color="auto" w:fill="FFFFFF"/>
        </w:rPr>
        <w:t>调研</w:t>
      </w:r>
      <w:r>
        <w:rPr>
          <w:rFonts w:hint="eastAsia" w:ascii="仿宋_GB2312" w:hAnsi="仿宋_GB2312" w:eastAsia="仿宋_GB2312" w:cs="仿宋_GB2312"/>
          <w:b w:val="0"/>
          <w:bCs/>
          <w:sz w:val="32"/>
          <w:szCs w:val="32"/>
          <w:shd w:val="clear" w:color="auto" w:fill="FFFFFF"/>
          <w:lang w:val="en-US" w:eastAsia="zh-CN"/>
        </w:rPr>
        <w:t>的供应商、厂家需</w:t>
      </w:r>
      <w:r>
        <w:rPr>
          <w:rFonts w:hint="eastAsia" w:ascii="仿宋_GB2312" w:hAnsi="仿宋_GB2312" w:eastAsia="仿宋_GB2312" w:cs="仿宋_GB2312"/>
          <w:b w:val="0"/>
          <w:bCs/>
          <w:sz w:val="32"/>
          <w:szCs w:val="32"/>
          <w:shd w:val="clear" w:color="auto" w:fill="FFFFFF"/>
        </w:rPr>
        <w:t>提供如下相关资料</w:t>
      </w:r>
      <w:r>
        <w:rPr>
          <w:rFonts w:hint="eastAsia" w:ascii="仿宋_GB2312" w:hAnsi="仿宋_GB2312" w:eastAsia="仿宋_GB2312" w:cs="仿宋_GB2312"/>
          <w:b w:val="0"/>
          <w:bCs/>
          <w:sz w:val="32"/>
          <w:szCs w:val="32"/>
          <w:shd w:val="clear" w:color="auto" w:fill="FFFFFF"/>
          <w:lang w:eastAsia="zh-CN"/>
        </w:rPr>
        <w:t>。</w:t>
      </w:r>
    </w:p>
    <w:p w14:paraId="70EB4F09">
      <w:pPr>
        <w:widowControl/>
        <w:numPr>
          <w:ilvl w:val="0"/>
          <w:numId w:val="0"/>
        </w:numPr>
        <w:wordWrap/>
        <w:snapToGrid/>
        <w:spacing w:before="0" w:after="0" w:line="315" w:lineRule="atLeast"/>
        <w:ind w:left="0" w:leftChars="0" w:right="0" w:firstLine="640" w:firstLineChars="200"/>
        <w:jc w:val="both"/>
        <w:outlineLvl w:val="9"/>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报名请携带加盖公章的项目文件回执单、营业执照复印件、公司简介</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b w:val="0"/>
          <w:bCs/>
          <w:sz w:val="32"/>
          <w:szCs w:val="32"/>
          <w:shd w:val="clear" w:color="auto" w:fill="FFFFFF"/>
        </w:rPr>
        <w:t>提供设备彩页等</w:t>
      </w:r>
      <w:r>
        <w:rPr>
          <w:rFonts w:hint="eastAsia" w:ascii="仿宋_GB2312" w:hAnsi="仿宋_GB2312" w:eastAsia="仿宋_GB2312" w:cs="仿宋_GB2312"/>
          <w:b w:val="0"/>
          <w:bCs/>
          <w:sz w:val="32"/>
          <w:szCs w:val="32"/>
          <w:shd w:val="clear" w:color="auto" w:fill="FFFFFF"/>
          <w:lang w:eastAsia="zh-CN"/>
        </w:rPr>
        <w:t>）</w:t>
      </w:r>
      <w:r>
        <w:rPr>
          <w:rFonts w:hint="eastAsia" w:ascii="仿宋_GB2312" w:hAnsi="仿宋_GB2312" w:eastAsia="仿宋_GB2312" w:cs="仿宋_GB2312"/>
          <w:color w:val="000000"/>
          <w:kern w:val="0"/>
          <w:sz w:val="32"/>
          <w:szCs w:val="32"/>
          <w:highlight w:val="none"/>
          <w:lang w:eastAsia="zh-CN"/>
        </w:rPr>
        <w:t>。</w:t>
      </w:r>
    </w:p>
    <w:p w14:paraId="124BBF5E">
      <w:pPr>
        <w:pStyle w:val="2"/>
        <w:rPr>
          <w:rFonts w:hint="eastAsia"/>
          <w:lang w:eastAsia="zh-CN"/>
        </w:rPr>
      </w:pPr>
    </w:p>
    <w:p w14:paraId="6609DDD5">
      <w:pPr>
        <w:widowControl/>
        <w:shd w:val="clear" w:color="auto" w:fill="FFFFFF"/>
        <w:wordWrap/>
        <w:snapToGrid/>
        <w:spacing w:before="0" w:after="0" w:line="500" w:lineRule="atLeast"/>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2194B673">
      <w:pPr>
        <w:widowControl/>
        <w:shd w:val="clear" w:color="auto" w:fill="FFFFFF"/>
        <w:wordWrap/>
        <w:snapToGrid/>
        <w:spacing w:before="0" w:after="0" w:line="500" w:lineRule="atLeast"/>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14:paraId="44055291">
      <w:pPr>
        <w:pStyle w:val="2"/>
        <w:numPr>
          <w:ilvl w:val="0"/>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rPr>
        <w:t>4、</w:t>
      </w:r>
      <w:r>
        <w:rPr>
          <w:rFonts w:hint="eastAsia" w:ascii="仿宋_GB2312" w:hAnsi="仿宋_GB2312" w:eastAsia="仿宋_GB2312" w:cs="仿宋_GB2312"/>
          <w:color w:val="000000"/>
          <w:spacing w:val="-8"/>
          <w:kern w:val="0"/>
          <w:sz w:val="32"/>
          <w:szCs w:val="32"/>
          <w:shd w:val="clear" w:color="auto" w:fill="FFFFFF"/>
          <w:lang w:val="en-US" w:eastAsia="zh-CN"/>
        </w:rPr>
        <w:t>提供业绩清单及近3年省内同类项目中标书</w:t>
      </w:r>
    </w:p>
    <w:p w14:paraId="7E6A61E2">
      <w:pPr>
        <w:pStyle w:val="2"/>
        <w:numPr>
          <w:ilvl w:val="0"/>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5、本调研会的报价仅做为本项目公开招标的预算限价；不做参与投标的限制条件；</w:t>
      </w:r>
    </w:p>
    <w:p w14:paraId="5DDBB371">
      <w:pPr>
        <w:pStyle w:val="2"/>
        <w:numPr>
          <w:ilvl w:val="0"/>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6、上述各参数将做为本项目招标的主要参数，不代表本项目公开招标的最终参数；</w:t>
      </w:r>
    </w:p>
    <w:p w14:paraId="010AE6E1">
      <w:pPr>
        <w:pStyle w:val="2"/>
        <w:numPr>
          <w:ilvl w:val="0"/>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7、参加调研会的公司应准备PPT材料（含方案介绍、服务及集成能力、应用案例、报价等）、技术参数等材料，每公司讲解时间30分钟（含答疑10分钟）；同时上述材料须交予院方留档（发送邮件到wlb@fjzlhospital.com，并提供U盘留档）。</w:t>
      </w:r>
    </w:p>
    <w:p w14:paraId="124D9464">
      <w:pPr>
        <w:pStyle w:val="2"/>
        <w:numPr>
          <w:ilvl w:val="0"/>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p>
    <w:p w14:paraId="26914CD2">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1AFAAE8">
      <w:pPr>
        <w:shd w:val="solid" w:color="FFFFFF" w:fill="auto"/>
        <w:autoSpaceDN w:val="0"/>
        <w:spacing w:line="420" w:lineRule="atLeast"/>
        <w:jc w:val="center"/>
        <w:rPr>
          <w:rFonts w:hint="eastAsia" w:ascii="仿宋_GB2312" w:hAnsi="仿宋_GB2312" w:eastAsia="仿宋_GB2312" w:cs="仿宋_GB2312"/>
          <w:b/>
          <w:bCs w:val="0"/>
          <w:color w:val="000000"/>
          <w:sz w:val="32"/>
          <w:szCs w:val="32"/>
          <w:shd w:val="clear" w:color="auto" w:fill="FFFFFF"/>
        </w:rPr>
      </w:pPr>
    </w:p>
    <w:p w14:paraId="321554FA">
      <w:pPr>
        <w:shd w:val="solid" w:color="FFFFFF" w:fill="auto"/>
        <w:autoSpaceDN w:val="0"/>
        <w:spacing w:line="420" w:lineRule="atLeast"/>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项目文件回执单</w:t>
      </w:r>
    </w:p>
    <w:p w14:paraId="5D6BF9F7">
      <w:pPr>
        <w:shd w:val="solid" w:color="FFFFFF" w:fill="auto"/>
        <w:autoSpaceDN w:val="0"/>
        <w:spacing w:line="420" w:lineRule="atLeast"/>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Style w:val="11"/>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6F88C7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4B45650">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B0BF6DC">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1AF6F20">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1867667">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14:paraId="176C78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36933375">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7B86FA5">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B6FB8BC">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10F00D5">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p>
        </w:tc>
      </w:tr>
      <w:tr w14:paraId="458D8A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5658D667">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24F6525">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29988E5">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FECADAF">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p>
        </w:tc>
      </w:tr>
    </w:tbl>
    <w:p w14:paraId="3C1FE42C">
      <w:pPr>
        <w:shd w:val="solid" w:color="FFFFFF" w:fill="auto"/>
        <w:autoSpaceDN w:val="0"/>
        <w:spacing w:line="420" w:lineRule="atLeast"/>
        <w:jc w:val="both"/>
        <w:rPr>
          <w:rFonts w:hint="eastAsia" w:ascii="仿宋_GB2312" w:hAnsi="仿宋_GB2312" w:eastAsia="仿宋_GB2312" w:cs="仿宋_GB2312"/>
          <w:b w:val="0"/>
          <w:bCs/>
          <w:sz w:val="32"/>
          <w:szCs w:val="32"/>
          <w:shd w:val="clear" w:color="auto" w:fill="FFFFFF"/>
        </w:rPr>
      </w:pPr>
    </w:p>
    <w:p w14:paraId="5EB54C12">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p>
    <w:p w14:paraId="13B6C6A3">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14:paraId="474C3F47">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14:paraId="56C1B59D">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14:paraId="28FB842A">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14:paraId="0BEEC0F8">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p>
    <w:p w14:paraId="462606C0">
      <w:pPr>
        <w:pStyle w:val="2"/>
        <w:rPr>
          <w:rFonts w:hint="eastAsia" w:ascii="仿宋_GB2312" w:hAnsi="仿宋_GB2312" w:eastAsia="仿宋_GB2312" w:cs="仿宋_GB2312"/>
          <w:b w:val="0"/>
          <w:bCs/>
          <w:sz w:val="32"/>
          <w:szCs w:val="32"/>
          <w:shd w:val="clear" w:color="auto" w:fill="FFFFFF"/>
        </w:rPr>
      </w:pPr>
    </w:p>
    <w:p w14:paraId="64479F97">
      <w:pPr>
        <w:pStyle w:val="2"/>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14:paraId="4C1B98D0">
      <w:pPr>
        <w:pStyle w:val="2"/>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p w14:paraId="557CCAB4">
      <w:pPr>
        <w:widowControl/>
        <w:spacing w:line="315" w:lineRule="atLeast"/>
        <w:ind w:firstLine="640" w:firstLineChars="200"/>
        <w:rPr>
          <w:rFonts w:hint="eastAsia" w:ascii="仿宋" w:hAnsi="仿宋" w:eastAsia="仿宋" w:cs="仿宋_GB2312"/>
          <w:color w:val="000000"/>
          <w:kern w:val="0"/>
          <w:sz w:val="32"/>
          <w:szCs w:val="32"/>
        </w:rPr>
      </w:pPr>
    </w:p>
    <w:sectPr>
      <w:footerReference r:id="rId3"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Segoe Print"/>
    <w:panose1 w:val="020B06040202020202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pple Color Emoji">
    <w:altName w:val="Calibri"/>
    <w:panose1 w:val="00000000000000000000"/>
    <w:charset w:val="00"/>
    <w:family w:val="auto"/>
    <w:pitch w:val="default"/>
    <w:sig w:usb0="00000000" w:usb1="00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99EFE">
    <w:pPr>
      <w:pStyle w:val="8"/>
    </w:pPr>
    <w:r>
      <w:rPr>
        <w:rFonts w:ascii="Calibri" w:hAnsi="Calibri" w:eastAsia="宋体" w:cs="Times New Roman"/>
        <w:kern w:val="2"/>
        <w:sz w:val="18"/>
        <w:szCs w:val="18"/>
        <w:lang w:val="en-US" w:eastAsia="zh-CN" w:bidi="ar-SA"/>
      </w:rPr>
      <w:pict>
        <v:rect id="Quad Arrow 1025" o:spid="_x0000_s2049" o:spt="1" style="position:absolute;left:0pt;margin-top:0pt;height:12.8pt;width:5.35pt;mso-position-horizontal:center;mso-position-horizontal-relative:margin;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14:paraId="48991B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3D77165"/>
    <w:multiLevelType w:val="singleLevel"/>
    <w:tmpl w:val="63D7716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563D7A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uiPriority="0" w:name="heading 3"/>
    <w:lsdException w:uiPriority="0" w:name="heading 4"/>
    <w:lsdException w:qFormat="1" w:uiPriority="0" w:name="heading 5"/>
    <w:lsdException w:uiPriority="0" w:name="heading 6"/>
    <w:lsdException w:qFormat="1"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link w:val="23"/>
    <w:qFormat/>
    <w:uiPriority w:val="0"/>
    <w:pPr>
      <w:keepNext/>
      <w:keepLines/>
      <w:spacing w:line="576" w:lineRule="auto"/>
      <w:outlineLvl w:val="0"/>
    </w:pPr>
    <w:rPr>
      <w:b/>
      <w:kern w:val="44"/>
      <w:sz w:val="44"/>
    </w:rPr>
  </w:style>
  <w:style w:type="paragraph" w:styleId="4">
    <w:name w:val="heading 2"/>
    <w:basedOn w:val="1"/>
    <w:unhideWhenUsed/>
    <w:qFormat/>
    <w:uiPriority w:val="9"/>
    <w:pPr>
      <w:keepNext/>
      <w:keepLines/>
      <w:snapToGrid w:val="0"/>
      <w:spacing w:line="300" w:lineRule="auto"/>
      <w:ind w:firstLine="200" w:firstLineChars="200"/>
      <w:outlineLvl w:val="1"/>
    </w:pPr>
    <w:rPr>
      <w:rFonts w:ascii="Arial" w:hAnsi="Arial"/>
      <w:b/>
      <w:bCs/>
      <w:szCs w:val="32"/>
    </w:rPr>
  </w:style>
  <w:style w:type="paragraph" w:styleId="5">
    <w:name w:val="heading 5"/>
    <w:basedOn w:val="1"/>
    <w:next w:val="1"/>
    <w:link w:val="24"/>
    <w:semiHidden/>
    <w:unhideWhenUsed/>
    <w:qFormat/>
    <w:uiPriority w:val="0"/>
    <w:pPr>
      <w:keepNext/>
      <w:keepLines/>
      <w:spacing w:before="280" w:after="290" w:line="376" w:lineRule="auto"/>
      <w:outlineLvl w:val="4"/>
    </w:pPr>
    <w:rPr>
      <w:b/>
      <w:bCs/>
      <w:sz w:val="28"/>
      <w:szCs w:val="28"/>
    </w:rPr>
  </w:style>
  <w:style w:type="paragraph" w:styleId="6">
    <w:name w:val="heading 7"/>
    <w:basedOn w:val="1"/>
    <w:link w:val="22"/>
    <w:semiHidden/>
    <w:unhideWhenUsed/>
    <w:qFormat/>
    <w:uiPriority w:val="0"/>
    <w:pPr>
      <w:keepNext/>
      <w:keepLines/>
      <w:spacing w:before="240" w:after="64" w:line="320" w:lineRule="auto"/>
      <w:outlineLvl w:val="6"/>
    </w:pPr>
    <w:rPr>
      <w:b/>
      <w:bCs/>
      <w:sz w:val="2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pPr>
    <w:rPr>
      <w:rFonts w:eastAsia="仿宋_GB2312"/>
      <w:kern w:val="28"/>
      <w:sz w:val="24"/>
      <w:szCs w:val="20"/>
    </w:rPr>
  </w:style>
  <w:style w:type="paragraph" w:styleId="7">
    <w:name w:val="Body Text"/>
    <w:basedOn w:val="1"/>
    <w:link w:val="18"/>
    <w:unhideWhenUsed/>
    <w:qFormat/>
    <w:uiPriority w:val="0"/>
    <w:rPr>
      <w:rFonts w:ascii="仿宋_GB2312" w:eastAsia="仿宋_GB2312"/>
      <w:sz w:val="32"/>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25"/>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line="336" w:lineRule="auto"/>
      <w:jc w:val="left"/>
    </w:pPr>
    <w:rPr>
      <w:rFonts w:ascii="宋体" w:hAnsi="宋体"/>
      <w:kern w:val="0"/>
      <w:sz w:val="24"/>
    </w:rPr>
  </w:style>
  <w:style w:type="character" w:styleId="13">
    <w:name w:val="Strong"/>
    <w:qFormat/>
    <w:uiPriority w:val="0"/>
    <w:rPr>
      <w:b/>
    </w:rPr>
  </w:style>
  <w:style w:type="paragraph" w:customStyle="1" w:styleId="14">
    <w:name w:val="引用1"/>
    <w:basedOn w:val="1"/>
    <w:qFormat/>
    <w:uiPriority w:val="29"/>
    <w:pPr>
      <w:spacing w:beforeLines="50" w:afterLines="50" w:line="360" w:lineRule="auto"/>
    </w:pPr>
    <w:rPr>
      <w:i/>
      <w:iCs/>
      <w:color w:val="000000"/>
      <w:lang w:val="zh-CN"/>
    </w:rPr>
  </w:style>
  <w:style w:type="paragraph" w:customStyle="1" w:styleId="15">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6">
    <w:name w:val="列表段落1"/>
    <w:basedOn w:val="1"/>
    <w:qFormat/>
    <w:uiPriority w:val="34"/>
    <w:pPr>
      <w:ind w:firstLine="420" w:firstLineChars="200"/>
    </w:pPr>
  </w:style>
  <w:style w:type="paragraph" w:customStyle="1" w:styleId="1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正文文本 Char"/>
    <w:link w:val="7"/>
    <w:qFormat/>
    <w:uiPriority w:val="0"/>
    <w:rPr>
      <w:rFonts w:ascii="仿宋_GB2312" w:hAnsi="Calibri" w:eastAsia="仿宋_GB2312" w:cs="黑体"/>
      <w:kern w:val="2"/>
      <w:sz w:val="32"/>
      <w:szCs w:val="24"/>
    </w:rPr>
  </w:style>
  <w:style w:type="character" w:customStyle="1" w:styleId="19">
    <w:name w:val="font71"/>
    <w:qFormat/>
    <w:uiPriority w:val="0"/>
    <w:rPr>
      <w:rFonts w:ascii="Helvetica" w:hAnsi="Helvetica" w:eastAsia="Helvetica" w:cs="Helvetica"/>
      <w:color w:val="000000"/>
      <w:sz w:val="16"/>
      <w:szCs w:val="16"/>
      <w:u w:val="none"/>
    </w:rPr>
  </w:style>
  <w:style w:type="character" w:customStyle="1" w:styleId="20">
    <w:name w:val="font81"/>
    <w:uiPriority w:val="0"/>
    <w:rPr>
      <w:rFonts w:hint="default" w:ascii="Helvetica" w:hAnsi="Helvetica" w:eastAsia="Helvetica" w:cs="Helvetica"/>
      <w:color w:val="DE3C36"/>
      <w:sz w:val="16"/>
      <w:szCs w:val="16"/>
      <w:u w:val="none"/>
    </w:rPr>
  </w:style>
  <w:style w:type="character" w:customStyle="1" w:styleId="21">
    <w:name w:val="font41"/>
    <w:qFormat/>
    <w:uiPriority w:val="0"/>
    <w:rPr>
      <w:rFonts w:hint="eastAsia" w:ascii="微软雅黑" w:hAnsi="微软雅黑" w:eastAsia="微软雅黑" w:cs="微软雅黑"/>
      <w:color w:val="000000"/>
      <w:sz w:val="16"/>
      <w:szCs w:val="16"/>
      <w:u w:val="none"/>
    </w:rPr>
  </w:style>
  <w:style w:type="character" w:customStyle="1" w:styleId="22">
    <w:name w:val="标题 7 Char"/>
    <w:basedOn w:val="12"/>
    <w:link w:val="6"/>
    <w:qFormat/>
    <w:uiPriority w:val="0"/>
    <w:rPr>
      <w:rFonts w:ascii="Calibri" w:hAnsi="Calibri" w:cs="黑体"/>
      <w:b/>
      <w:bCs/>
      <w:kern w:val="2"/>
      <w:sz w:val="24"/>
      <w:szCs w:val="24"/>
    </w:rPr>
  </w:style>
  <w:style w:type="character" w:customStyle="1" w:styleId="23">
    <w:name w:val="标题 1 Char"/>
    <w:link w:val="3"/>
    <w:qFormat/>
    <w:uiPriority w:val="0"/>
    <w:rPr>
      <w:rFonts w:ascii="Calibri" w:hAnsi="Calibri" w:cs="黑体"/>
      <w:b/>
      <w:kern w:val="44"/>
      <w:sz w:val="44"/>
      <w:szCs w:val="24"/>
    </w:rPr>
  </w:style>
  <w:style w:type="character" w:customStyle="1" w:styleId="24">
    <w:name w:val="标题 5 Char"/>
    <w:basedOn w:val="12"/>
    <w:link w:val="5"/>
    <w:semiHidden/>
    <w:uiPriority w:val="0"/>
    <w:rPr>
      <w:rFonts w:ascii="Calibri" w:hAnsi="Calibri" w:cs="黑体"/>
      <w:b/>
      <w:bCs/>
      <w:kern w:val="2"/>
      <w:sz w:val="28"/>
      <w:szCs w:val="28"/>
    </w:rPr>
  </w:style>
  <w:style w:type="character" w:customStyle="1" w:styleId="25">
    <w:name w:val="页眉 Char"/>
    <w:basedOn w:val="12"/>
    <w:link w:val="9"/>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4185</Words>
  <Characters>4435</Characters>
  <Lines>36</Lines>
  <Paragraphs>10</Paragraphs>
  <TotalTime>0</TotalTime>
  <ScaleCrop>false</ScaleCrop>
  <LinksUpToDate>false</LinksUpToDate>
  <CharactersWithSpaces>4565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2024-11-13T01:17:00Z</dcterms:created>
  <dc:creator>Admin</dc:creator>
  <cp:lastModifiedBy>网络办金</cp:lastModifiedBy>
  <cp:lastPrinted>2024-11-21T08:38:00Z</cp:lastPrinted>
  <dcterms:modified xsi:type="dcterms:W3CDTF">2025-05-16T07:49:33Z</dcterms:modified>
  <dc:title>设备科：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CD1CBFDCF0B34D54A1323A555A4AB815_12</vt:lpwstr>
  </property>
  <property fmtid="{D5CDD505-2E9C-101B-9397-08002B2CF9AE}" pid="4" name="KSOTemplateDocerSaveRecord">
    <vt:lpwstr>eyJoZGlkIjoiMzcyYzQ4MzExOWIxM2ZmZWE3MDIzNjczNzVlZjFmOWYiLCJ1c2VySWQiOiIxNzAwODQwNTc2In0=</vt:lpwstr>
  </property>
</Properties>
</file>