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3"/>
        <w:wordWrap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方正小标宋简体" w:cs="仿宋_GB2312"/>
          <w:b w:val="0"/>
          <w:kern w:val="2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福建省肿瘤医院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Cs w:val="44"/>
        </w:rPr>
        <w:t>网超品牌论证公告</w:t>
      </w:r>
    </w:p>
    <w:p>
      <w:pPr>
        <w:widowControl/>
        <w:shd w:val="clear" w:color="auto" w:fill="FFFFFF"/>
        <w:wordWrap/>
        <w:adjustRightInd w:val="0"/>
        <w:snapToGrid w:val="0"/>
        <w:spacing w:before="0" w:after="0" w:line="360" w:lineRule="auto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第一部分 须知前附表</w:t>
      </w:r>
    </w:p>
    <w:tbl>
      <w:tblPr>
        <w:tblpPr w:leftFromText="180" w:rightFromText="180" w:vertAnchor="text" w:horzAnchor="page" w:tblpX="1852" w:tblpY="337"/>
        <w:tblOverlap w:val="never"/>
        <w:tblW w:w="87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77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主　　　要　　　 内　　　 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分子病理存储服务器 （二次）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调研报名时间：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2025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至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(节假日除外)8：00-12：00或14：00-17：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(北京时间）</w:t>
            </w:r>
          </w:p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调研会时间：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 w:color="auto"/>
                <w:lang w:val="en-US" w:eastAsia="zh-CN"/>
              </w:rPr>
              <w:t xml:space="preserve"> 2025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9:00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文件正本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份,副本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份胶装并密封加盖投标人公章。文件未胶装将视为无效。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文件递交处：福建省肿瘤医院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网络技术中心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上述时间、地点如有变动，以单位届时通知为准。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/>
              <w:adjustRightInd w:val="0"/>
              <w:snapToGrid w:val="0"/>
              <w:spacing w:before="0" w:after="0" w:line="360" w:lineRule="auto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采购报名、采购调研等采购过程中有任何异议，可联系我院监督科室。电话：83660063-8407；83660063-8467。</w:t>
            </w:r>
          </w:p>
        </w:tc>
      </w:tr>
    </w:tbl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地　址： 福建省福州市福马路420号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 w:firstLine="420" w:firstLineChars="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福建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省肿瘤医院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科研楼四楼网络技术中心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邮　编： 350014　 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报名联系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电话： 0591-83660063-8822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钱工、金工</w:t>
      </w:r>
    </w:p>
    <w:p>
      <w:pPr>
        <w:pStyle w:val="2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widowControl/>
        <w:shd w:val="clear" w:color="auto" w:fill="FFFFFF"/>
        <w:wordWrap/>
        <w:adjustRightInd w:val="0"/>
        <w:snapToGrid w:val="0"/>
        <w:spacing w:before="0" w:after="0" w:line="360" w:lineRule="auto"/>
        <w:ind w:left="0" w:leftChars="0" w:right="0" w:firstLine="42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第二部分 具体要求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采购内容</w:t>
      </w:r>
    </w:p>
    <w:tbl>
      <w:tblPr>
        <w:tblpPr w:leftFromText="180" w:rightFromText="180" w:vertAnchor="text" w:horzAnchor="page" w:tblpX="1562" w:tblpY="283"/>
        <w:tblOverlap w:val="never"/>
        <w:tblW w:w="9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3178"/>
        <w:gridCol w:w="1590"/>
        <w:gridCol w:w="18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7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合同包</w:t>
            </w:r>
          </w:p>
        </w:tc>
        <w:tc>
          <w:tcPr>
            <w:tcW w:w="3178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</w:rPr>
              <w:t>名 称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</w:rPr>
              <w:t>数量</w:t>
            </w:r>
          </w:p>
        </w:tc>
        <w:tc>
          <w:tcPr>
            <w:tcW w:w="1894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</w:rPr>
              <w:t>预算（万元）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2697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一）</w:t>
            </w:r>
          </w:p>
        </w:tc>
        <w:tc>
          <w:tcPr>
            <w:tcW w:w="3178" w:type="dxa"/>
            <w:vAlign w:val="center"/>
          </w:tcPr>
          <w:p>
            <w:pPr>
              <w:numPr>
                <w:numId w:val="0"/>
              </w:numPr>
              <w:wordWrap/>
              <w:spacing w:before="0" w:after="0" w:line="360" w:lineRule="auto"/>
              <w:ind w:left="0" w:leftChars="0" w:right="0" w:firstLine="0" w:firstLineChars="0"/>
              <w:jc w:val="both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分子病理存储服务器</w:t>
            </w:r>
          </w:p>
        </w:tc>
        <w:tc>
          <w:tcPr>
            <w:tcW w:w="1590" w:type="dxa"/>
            <w:vAlign w:val="center"/>
          </w:tcPr>
          <w:p>
            <w:pPr>
              <w:wordWrap/>
              <w:autoSpaceDN w:val="0"/>
              <w:spacing w:before="0" w:after="0" w:line="360" w:lineRule="auto"/>
              <w:ind w:left="0" w:leftChars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1894" w:type="dxa"/>
            <w:vAlign w:val="center"/>
          </w:tcPr>
          <w:p>
            <w:pPr>
              <w:wordWrap/>
              <w:autoSpaceDN w:val="0"/>
              <w:spacing w:before="0" w:after="0" w:line="360" w:lineRule="auto"/>
              <w:ind w:left="0" w:leftChars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25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keepNext/>
        <w:widowControl/>
        <w:numPr>
          <w:numId w:val="0"/>
        </w:numPr>
        <w:shd w:val="clear" w:color="auto" w:fill="FFFFFF"/>
        <w:wordWrap/>
        <w:autoSpaceDE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技术功能及服务要求</w:t>
      </w:r>
    </w:p>
    <w:p>
      <w:pPr>
        <w:pStyle w:val="2"/>
        <w:numPr>
          <w:numId w:val="0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1、合同包（一）</w:t>
      </w:r>
    </w:p>
    <w:tbl>
      <w:tblPr>
        <w:tblW w:w="8525" w:type="dxa"/>
        <w:jc w:val="center"/>
        <w:tblInd w:w="8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508"/>
        <w:gridCol w:w="5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034" w:type="dxa"/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508" w:type="dxa"/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5983" w:type="dxa"/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5" w:hRule="exact"/>
          <w:jc w:val="center"/>
        </w:trPr>
        <w:tc>
          <w:tcPr>
            <w:tcW w:w="1034" w:type="dxa"/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08" w:type="dxa"/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服务器</w:t>
            </w:r>
          </w:p>
        </w:tc>
        <w:tc>
          <w:tcPr>
            <w:tcW w:w="5983" w:type="dxa"/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 CPU配置≥2颗国产C86架构处理器，单颗CPU不低于24核心，主频不低于2.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GHz；</w:t>
            </w:r>
          </w:p>
          <w:p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 内存插槽数≥32个，配置≥256GB DDR4-3200内存，最大支持4.0TB内存容量；</w:t>
            </w:r>
          </w:p>
          <w:p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 可插拔硬盘槽位≥28个，配置≥2*960GB SSD硬盘，配置≥20*16TB 3.5in HDD硬盘，支持多达24个3.5英寸硬盘、4个2.5英寸硬盘，支持SAS/SATA HDD/SSD硬盘，支持前置/内置NVMe硬盘，支持SATA M.2选件；</w:t>
            </w:r>
          </w:p>
          <w:p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 配置≥4个千兆电口，≥2个25GE光口(含2个25G多模光模块)，板载1个1Gbps独立远程管理控制端口；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2" w:hRule="exact"/>
          <w:jc w:val="center"/>
        </w:trPr>
        <w:tc>
          <w:tcPr>
            <w:tcW w:w="1034" w:type="dxa"/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08" w:type="dxa"/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983" w:type="dxa"/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 配置≥12Gb 2端口SAS RAID卡(支持8个SAS口,4G缓存,含掉电保护)；</w:t>
            </w:r>
          </w:p>
          <w:p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6. 为保证产品的可扩展性，要求支持≥10个PCIe 4.0/3.0扩展槽、1个板载OCP3.0插槽和1个板载RAID卡；</w:t>
            </w:r>
          </w:p>
          <w:p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7. 为保证产品的安全性，满足中国标准TCM 1.0可信计算要求；</w:t>
            </w:r>
          </w:p>
          <w:p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8. 配置1300W 1+1冗余电源；</w:t>
            </w:r>
          </w:p>
          <w:p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9. 提供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年原厂售后维保服务。</w:t>
            </w:r>
          </w:p>
        </w:tc>
      </w:tr>
    </w:tbl>
    <w:p>
      <w:pPr>
        <w:numPr>
          <w:numId w:val="0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其他要求</w:t>
      </w:r>
    </w:p>
    <w:p>
      <w:pPr>
        <w:widowControl/>
        <w:numPr>
          <w:ilvl w:val="0"/>
          <w:numId w:val="2"/>
        </w:numPr>
        <w:spacing w:line="315" w:lineRule="atLeast"/>
        <w:ind w:firstLine="640" w:firstLineChars="200"/>
        <w:rPr>
          <w:rFonts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本项目为交钥匙工程，主要工作为：各设备上架调试、系统集成等软硬件安装工作，同时必须结合医院现有设备及应用情况，实施现有及本项目规划、等保安全、系统集成、数据迁移、协助完成医院评审工作包括但不限于三级等保评审、电子病历评审、互联互通评审等各项工作；</w:t>
      </w:r>
    </w:p>
    <w:p>
      <w:pPr>
        <w:widowControl/>
        <w:numPr>
          <w:ilvl w:val="0"/>
          <w:numId w:val="2"/>
        </w:numPr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本预算价应包含设备价格、实施费用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含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相关光纤辅材，机柜整理及设备接地服务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、集成费用及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u w:val="none" w:color="auto"/>
          <w:lang w:val="en-US" w:eastAsia="zh-CN"/>
        </w:rPr>
        <w:t>3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u w:val="none" w:color="auto"/>
        </w:rPr>
        <w:t>年保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修期内（扩容设备随主机保修）的维修及服务费用等，本预算价为含税开票价格。</w:t>
      </w:r>
    </w:p>
    <w:p>
      <w:pPr>
        <w:widowControl/>
        <w:numPr>
          <w:ilvl w:val="0"/>
          <w:numId w:val="2"/>
        </w:numPr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本项目系统安装调试并经验收合格后，应对采购方的相关人员提供关于系统应用时技术和操作方面的培训。相关培训费用应包含在投标总价中。</w:t>
      </w:r>
    </w:p>
    <w:p>
      <w:pPr>
        <w:pStyle w:val="13"/>
        <w:numPr>
          <w:numId w:val="0"/>
        </w:numPr>
        <w:wordWrap/>
        <w:spacing w:before="0" w:beforeAutospacing="0" w:after="0" w:afterAutospacing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widowControl w:val="0"/>
        <w:numPr>
          <w:ilvl w:val="0"/>
          <w:numId w:val="1"/>
        </w:numPr>
        <w:wordWrap/>
        <w:overflowPunct w:val="0"/>
        <w:autoSpaceDE w:val="0"/>
        <w:autoSpaceDN w:val="0"/>
        <w:adjustRightInd w:val="0"/>
        <w:spacing w:before="0" w:after="0" w:line="360" w:lineRule="auto"/>
        <w:ind w:left="0" w:leftChars="0" w:right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调研说明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报名参加本次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调研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的供应商、厂家需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提供如下相关资料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numPr>
          <w:ilvl w:val="0"/>
          <w:numId w:val="3"/>
        </w:numPr>
        <w:wordWrap/>
        <w:snapToGrid/>
        <w:spacing w:before="0" w:after="0" w:line="360" w:lineRule="auto"/>
        <w:ind w:left="0" w:leftChars="0" w:right="0" w:firstLine="72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</w:rPr>
        <w:t>报名请携带加盖公章的项目文件回执单、营业执照复印件、公司简介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val="en-US" w:eastAsia="zh-CN"/>
        </w:rPr>
        <w:t>可含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shd w:val="clear" w:color="auto" w:fill="FFFFFF"/>
        </w:rPr>
        <w:t>提供设备彩页等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  <w:t>。</w:t>
      </w:r>
    </w:p>
    <w:p>
      <w:pPr>
        <w:widowControl/>
        <w:shd w:val="clear" w:color="auto" w:fill="FFFFFF"/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2、参与项目调研供应商代表的个人授权函（需加盖供应商公章）和身份证复印件。</w:t>
      </w:r>
    </w:p>
    <w:p>
      <w:pPr>
        <w:widowControl/>
        <w:shd w:val="clear" w:color="auto" w:fill="FFFFFF"/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>
      <w:pPr>
        <w:pStyle w:val="2"/>
        <w:numPr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4、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提供业绩清单及近3年省内同类项目中标书</w:t>
      </w:r>
    </w:p>
    <w:p>
      <w:pPr>
        <w:pStyle w:val="2"/>
        <w:numPr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5、本调研会的报价仅做为本项目</w:t>
      </w:r>
      <w:r>
        <w:rPr>
          <w:rFonts w:hint="eastAsia" w:ascii="仿宋_GB2312" w:hAnsi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论证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的预算限价；</w:t>
      </w:r>
    </w:p>
    <w:p>
      <w:pPr>
        <w:pStyle w:val="2"/>
        <w:numPr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6、上述各参数将做为本项目</w:t>
      </w:r>
      <w:r>
        <w:rPr>
          <w:rFonts w:hint="eastAsia" w:ascii="仿宋_GB2312" w:hAnsi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论证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的主要参数，不代表本项目招标的最终参数；</w:t>
      </w:r>
    </w:p>
    <w:p>
      <w:pPr>
        <w:pStyle w:val="2"/>
        <w:numPr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7、参加调研会的公司应准备PPT材料（含方案介绍、服务及集成能力、应用案例、报价等）、技术参数等材料，每公司讲解时间30分钟（含答疑10分钟）；同时上述材料须交予院方留档（发送邮件到wlb@fjzlhospital.com，并提供U盘留档）。</w:t>
      </w:r>
    </w:p>
    <w:p>
      <w:pPr>
        <w:pStyle w:val="2"/>
        <w:wordWrap/>
        <w:spacing w:before="0" w:after="0" w:line="360" w:lineRule="auto"/>
        <w:ind w:left="0" w:leftChars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>项目文件回执单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请有意向参与的公司在项目公示期内携带回执单至福建省肿瘤医院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网络技术中心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报名。</w:t>
      </w:r>
    </w:p>
    <w:tbl>
      <w:tblPr>
        <w:tblW w:w="8154" w:type="dxa"/>
        <w:tblInd w:w="3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651"/>
        <w:gridCol w:w="2115"/>
        <w:gridCol w:w="22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2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公司名称：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 xml:space="preserve">联系人：　 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联系电话：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公司盖章：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Style w:val="2"/>
        <w:wordWrap/>
        <w:spacing w:before="0" w:after="0" w:line="360" w:lineRule="auto"/>
        <w:ind w:left="0" w:leftChars="0" w:right="0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Style w:val="2"/>
        <w:wordWrap/>
        <w:spacing w:before="0" w:after="0" w:line="360" w:lineRule="auto"/>
        <w:ind w:left="0" w:leftChars="0" w:right="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福建省肿瘤医院</w:t>
      </w:r>
    </w:p>
    <w:p>
      <w:pPr>
        <w:pStyle w:val="2"/>
        <w:wordWrap/>
        <w:spacing w:before="0" w:after="0" w:line="360" w:lineRule="auto"/>
        <w:ind w:left="0" w:leftChars="0" w:right="0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   年  月  日</w:t>
      </w:r>
    </w:p>
    <w:p>
      <w:pPr>
        <w:pStyle w:val="2"/>
        <w:wordWrap/>
        <w:spacing w:before="0" w:after="0" w:line="360" w:lineRule="auto"/>
        <w:ind w:left="0" w:leftChars="0" w:right="0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bookmarkEnd w:id="0"/>
    <w:sectPr>
      <w:footerReference r:id="rId4" w:type="default"/>
      <w:pgSz w:w="12240" w:h="15840"/>
      <w:pgMar w:top="1417" w:right="1587" w:bottom="1417" w:left="1587" w:header="720" w:footer="720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rect id="Quad Arrow 1025" o:spid="_x0000_s1025" style="position:absolute;left:0;margin-top:0pt;height:12.8pt;width:5.35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243651022">
    <w:nsid w:val="C1562FCE"/>
    <w:multiLevelType w:val="singleLevel"/>
    <w:tmpl w:val="C1562FCE"/>
    <w:lvl w:ilvl="0" w:tentative="1">
      <w:start w:val="1"/>
      <w:numFmt w:val="decimal"/>
      <w:suff w:val="nothing"/>
      <w:lvlText w:val="%1、"/>
      <w:lvlJc w:val="left"/>
    </w:lvl>
  </w:abstractNum>
  <w:abstractNum w:abstractNumId="1739864447">
    <w:nsid w:val="67B4397F"/>
    <w:multiLevelType w:val="singleLevel"/>
    <w:tmpl w:val="67B4397F"/>
    <w:lvl w:ilvl="0" w:tentative="1">
      <w:start w:val="1"/>
      <w:numFmt w:val="decimal"/>
      <w:suff w:val="nothing"/>
      <w:lvlText w:val="%1、"/>
      <w:lvlJc w:val="left"/>
    </w:lvl>
  </w:abstractNum>
  <w:abstractNum w:abstractNumId="1398085122">
    <w:nsid w:val="53551602"/>
    <w:multiLevelType w:val="singleLevel"/>
    <w:tmpl w:val="53551602"/>
    <w:lvl w:ilvl="0" w:tentative="1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398085122"/>
  </w:num>
  <w:num w:numId="2">
    <w:abstractNumId w:val="3243651022"/>
  </w:num>
  <w:num w:numId="3">
    <w:abstractNumId w:val="17398644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WYwOWNhMWIwMTM5Y2VhMTQwZDE5YzA3MTI0ODg5N2E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9">
    <w:name w:val="Default Paragraph Font"/>
    <w:semiHidden/>
    <w:qFormat/>
    <w:uiPriority w:val="0"/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仿宋_GB2312"/>
      <w:kern w:val="28"/>
      <w:sz w:val="24"/>
      <w:szCs w:val="20"/>
    </w:rPr>
  </w:style>
  <w:style w:type="paragraph" w:styleId="5">
    <w:name w:val="Body Text"/>
    <w:basedOn w:val="1"/>
    <w:next w:val="6"/>
    <w:unhideWhenUsed/>
    <w:qFormat/>
    <w:uiPriority w:val="99"/>
    <w:rPr>
      <w:rFonts w:ascii="仿宋_GB2312" w:eastAsia="仿宋_GB2312"/>
      <w:sz w:val="32"/>
    </w:rPr>
  </w:style>
  <w:style w:type="paragraph" w:customStyle="1" w:styleId="6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lang w:val="zh-CN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line="336" w:lineRule="auto"/>
      <w:jc w:val="left"/>
    </w:pPr>
    <w:rPr>
      <w:rFonts w:ascii="宋体" w:hAnsi="宋体"/>
      <w:kern w:val="0"/>
      <w:sz w:val="24"/>
    </w:rPr>
  </w:style>
  <w:style w:type="character" w:styleId="10">
    <w:name w:val="Strong"/>
    <w:qFormat/>
    <w:uiPriority w:val="0"/>
    <w:rPr>
      <w:b/>
    </w:rPr>
  </w:style>
  <w:style w:type="paragraph" w:customStyle="1" w:styleId="11">
    <w:name w:val="xl3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2759</Words>
  <Characters>3104</Characters>
  <Lines>0</Lines>
  <Paragraphs>0</Paragraphs>
  <ScaleCrop>false</ScaleCrop>
  <LinksUpToDate>false</LinksUpToDate>
  <CharactersWithSpaces>0</CharactersWithSpaces>
  <Application>WPS Office 专业版_8.1.0.0_{F1E327BC-269C-435d-A152-05C5408002CA}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2023-05-30T06:42:00Z</dcterms:created>
  <dc:creator>Admin</dc:creator>
  <cp:lastModifiedBy>Admin</cp:lastModifiedBy>
  <cp:lastPrinted>2023-06-20T07:45:00Z</cp:lastPrinted>
  <dcterms:modified xsi:type="dcterms:W3CDTF">2025-04-18T00:52:28Z</dcterms:modified>
  <dc:title>设备科：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2052-8.1.0.0</vt:lpwstr>
  </property>
  <property fmtid="{D5CDD505-2E9C-101B-9397-08002B2CF9AE}" pid="3" name="ICV">
    <vt:lpwstr>CD1CBFDCF0B34D54A1323A555A4AB815_12</vt:lpwstr>
  </property>
  <property fmtid="{D5CDD505-2E9C-101B-9397-08002B2CF9AE}" pid="4" name="KSOTemplateDocerSaveRecord">
    <vt:lpwstr>eyJoZGlkIjoiNjMxMGQ2ODQ1OTZiZjI5ZTE2YThiYTc0MTgyNDRkNmUiLCJ1c2VySWQiOiIxNDE1MTgzNjQyIn0=</vt:lpwstr>
  </property>
</Properties>
</file>