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snapToGrid/>
        <w:spacing w:after="0" w:line="480" w:lineRule="atLeast"/>
        <w:jc w:val="center"/>
        <w:rPr>
          <w:rFonts w:hint="eastAsia" w:ascii="宋体" w:hAnsi="宋体" w:eastAsia="宋体" w:cs="宋体"/>
          <w:b/>
          <w:bCs/>
          <w:color w:val="404040"/>
          <w:sz w:val="32"/>
          <w:szCs w:val="32"/>
        </w:rPr>
      </w:pPr>
      <w:r>
        <w:rPr>
          <w:rFonts w:hint="eastAsia" w:ascii="宋体" w:hAnsi="宋体" w:eastAsia="宋体" w:cs="宋体"/>
          <w:b/>
          <w:bCs/>
          <w:color w:val="404040"/>
          <w:sz w:val="32"/>
          <w:szCs w:val="32"/>
        </w:rPr>
        <w:t>福建省肿瘤医院配电房年检服务项目招标文件</w:t>
      </w:r>
    </w:p>
    <w:p>
      <w:p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黑体" w:hAnsi="黑体" w:eastAsia="黑体" w:cs="宋体"/>
          <w:b/>
          <w:bCs/>
          <w:color w:val="404040"/>
          <w:sz w:val="26"/>
        </w:rPr>
        <w:t>一、招标项目概况和范围</w:t>
      </w:r>
    </w:p>
    <w:p>
      <w:pPr>
        <w:adjustRightInd/>
        <w:snapToGrid/>
        <w:spacing w:after="0" w:line="480" w:lineRule="atLeast"/>
        <w:ind w:firstLine="520" w:firstLineChars="200"/>
        <w:rPr>
          <w:rFonts w:hint="eastAsia" w:ascii="宋体" w:hAnsi="宋体" w:eastAsia="宋体" w:cs="宋体"/>
          <w:color w:val="FF0000"/>
          <w:sz w:val="26"/>
          <w:szCs w:val="26"/>
        </w:rPr>
      </w:pPr>
      <w:r>
        <w:rPr>
          <w:rFonts w:hint="eastAsia" w:ascii="宋体" w:hAnsi="宋体" w:eastAsia="宋体" w:cs="宋体"/>
          <w:color w:val="404040"/>
          <w:sz w:val="26"/>
          <w:szCs w:val="26"/>
        </w:rPr>
        <w:t>1、项目名称：福建省肿瘤医院配电房年检服务</w:t>
      </w:r>
    </w:p>
    <w:p>
      <w:pPr>
        <w:adjustRightInd/>
        <w:snapToGrid/>
        <w:spacing w:before="150" w:after="0" w:line="480" w:lineRule="atLeast"/>
        <w:ind w:firstLine="480"/>
        <w:jc w:val="both"/>
        <w:rPr>
          <w:rFonts w:hint="eastAsia" w:ascii="方正仿宋简体" w:hAnsi="宋体" w:eastAsia="方正仿宋简体" w:cs="宋体"/>
          <w:color w:val="404040"/>
          <w:sz w:val="28"/>
          <w:szCs w:val="28"/>
        </w:rPr>
      </w:pPr>
      <w:r>
        <w:rPr>
          <w:rFonts w:hint="eastAsia" w:ascii="宋体" w:hAnsi="宋体" w:eastAsia="宋体" w:cs="宋体"/>
          <w:color w:val="404040"/>
          <w:sz w:val="26"/>
          <w:szCs w:val="26"/>
        </w:rPr>
        <w:t>2、服务地点：福马路420号。</w:t>
      </w:r>
    </w:p>
    <w:p>
      <w:pPr>
        <w:adjustRightInd/>
        <w:snapToGrid/>
        <w:spacing w:before="150" w:after="0" w:line="480" w:lineRule="atLeast"/>
        <w:ind w:firstLine="480"/>
        <w:jc w:val="both"/>
        <w:rPr>
          <w:rFonts w:hint="eastAsia" w:ascii="方正仿宋简体" w:hAnsi="宋体" w:eastAsia="方正仿宋简体" w:cs="宋体"/>
          <w:color w:val="404040"/>
          <w:sz w:val="28"/>
          <w:szCs w:val="28"/>
        </w:rPr>
      </w:pPr>
      <w:r>
        <w:rPr>
          <w:rFonts w:hint="eastAsia" w:ascii="宋体" w:hAnsi="宋体" w:eastAsia="宋体" w:cs="宋体"/>
          <w:color w:val="404040"/>
          <w:sz w:val="26"/>
          <w:szCs w:val="26"/>
        </w:rPr>
        <w:t>3、招标范围和内容：见附件。</w:t>
      </w:r>
    </w:p>
    <w:p>
      <w:pPr>
        <w:pStyle w:val="27"/>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4、质量要求：符合国家标准。</w:t>
      </w:r>
    </w:p>
    <w:p>
      <w:pPr>
        <w:pStyle w:val="25"/>
        <w:rPr>
          <w:rFonts w:hint="eastAsia" w:ascii="宋体" w:hAnsi="宋体" w:eastAsia="宋体" w:cs="宋体"/>
          <w:color w:val="404040"/>
          <w:sz w:val="26"/>
          <w:szCs w:val="26"/>
          <w:lang w:val="en-US" w:eastAsia="zh-CN"/>
        </w:rPr>
      </w:pPr>
    </w:p>
    <w:p>
      <w:pPr>
        <w:pStyle w:val="25"/>
        <w:ind w:left="0" w:leftChars="0" w:firstLine="520" w:firstLineChars="200"/>
        <w:rPr>
          <w:rFonts w:hint="default" w:eastAsia="宋体"/>
          <w:lang w:val="en-US" w:eastAsia="zh-CN"/>
        </w:rPr>
      </w:pPr>
      <w:r>
        <w:rPr>
          <w:rFonts w:hint="eastAsia" w:ascii="宋体" w:hAnsi="宋体" w:eastAsia="宋体" w:cs="宋体"/>
          <w:color w:val="404040"/>
          <w:sz w:val="26"/>
          <w:szCs w:val="26"/>
          <w:lang w:val="en-US" w:eastAsia="zh-CN"/>
        </w:rPr>
        <w:t>5、服务期：3年。</w:t>
      </w:r>
    </w:p>
    <w:p>
      <w:pPr>
        <w:adjustRightInd/>
        <w:snapToGrid/>
        <w:spacing w:before="150" w:after="0" w:line="480" w:lineRule="atLeast"/>
        <w:ind w:firstLine="520" w:firstLineChars="200"/>
        <w:jc w:val="both"/>
        <w:rPr>
          <w:rFonts w:hint="eastAsia" w:ascii="宋体" w:hAnsi="宋体" w:eastAsia="宋体" w:cs="宋体"/>
          <w:color w:val="404040"/>
          <w:sz w:val="26"/>
          <w:szCs w:val="26"/>
        </w:rPr>
      </w:pPr>
      <w:r>
        <w:rPr>
          <w:rFonts w:hint="eastAsia" w:ascii="宋体" w:hAnsi="宋体" w:eastAsia="宋体" w:cs="宋体"/>
          <w:color w:val="404040"/>
          <w:sz w:val="26"/>
          <w:szCs w:val="26"/>
          <w:lang w:val="en-US" w:eastAsia="zh-CN"/>
        </w:rPr>
        <w:t>6</w:t>
      </w:r>
      <w:r>
        <w:rPr>
          <w:rFonts w:hint="eastAsia" w:ascii="宋体" w:hAnsi="宋体" w:eastAsia="宋体" w:cs="宋体"/>
          <w:color w:val="404040"/>
          <w:sz w:val="26"/>
          <w:szCs w:val="26"/>
        </w:rPr>
        <w:t>、预算价：28.65</w:t>
      </w:r>
      <w:r>
        <w:rPr>
          <w:rFonts w:hint="eastAsia" w:ascii="宋体" w:hAnsi="宋体" w:eastAsia="宋体" w:cs="宋体"/>
          <w:b/>
          <w:bCs/>
          <w:color w:val="404040"/>
          <w:sz w:val="26"/>
          <w:szCs w:val="26"/>
        </w:rPr>
        <w:t>万</w:t>
      </w:r>
    </w:p>
    <w:p>
      <w:p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黑体" w:hAnsi="黑体" w:eastAsia="黑体" w:cs="宋体"/>
          <w:b/>
          <w:bCs/>
          <w:color w:val="404040"/>
          <w:sz w:val="26"/>
        </w:rPr>
        <w:t>二、投标人资格要求及审查办法</w:t>
      </w:r>
      <w:bookmarkStart w:id="5" w:name="_GoBack"/>
      <w:bookmarkEnd w:id="5"/>
    </w:p>
    <w:p>
      <w:pPr>
        <w:pStyle w:val="25"/>
        <w:numPr>
          <w:ilvl w:val="0"/>
          <w:numId w:val="1"/>
        </w:numPr>
        <w:tabs>
          <w:tab w:val="left" w:pos="420"/>
        </w:tabs>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满足《中华人民共和国政府采购法》第二十二条规定。</w:t>
      </w:r>
    </w:p>
    <w:p>
      <w:pPr>
        <w:pStyle w:val="25"/>
        <w:numPr>
          <w:ilvl w:val="0"/>
          <w:numId w:val="1"/>
        </w:numPr>
        <w:tabs>
          <w:tab w:val="left" w:pos="420"/>
        </w:tabs>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落实政府采购政策需满足的资格要求。</w:t>
      </w:r>
    </w:p>
    <w:p>
      <w:pPr>
        <w:pStyle w:val="25"/>
        <w:numPr>
          <w:ilvl w:val="0"/>
          <w:numId w:val="1"/>
        </w:numPr>
        <w:tabs>
          <w:tab w:val="left" w:pos="420"/>
        </w:tabs>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委托代表人资格证明书（附法人及委托人身份证）。</w:t>
      </w:r>
    </w:p>
    <w:p>
      <w:pPr>
        <w:pStyle w:val="25"/>
        <w:numPr>
          <w:ilvl w:val="0"/>
          <w:numId w:val="1"/>
        </w:numPr>
        <w:tabs>
          <w:tab w:val="left" w:pos="420"/>
        </w:tabs>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参加本次活动前三年内，在经营活动中没有重大违法违规记录的承诺。</w:t>
      </w:r>
    </w:p>
    <w:p>
      <w:pPr>
        <w:pStyle w:val="25"/>
        <w:numPr>
          <w:ilvl w:val="0"/>
          <w:numId w:val="1"/>
        </w:numPr>
        <w:tabs>
          <w:tab w:val="left" w:pos="420"/>
        </w:tabs>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lang w:val="en-US" w:eastAsia="zh-CN"/>
        </w:rPr>
        <w:t>投标人</w:t>
      </w:r>
      <w:r>
        <w:rPr>
          <w:rFonts w:hint="eastAsia" w:ascii="宋体" w:hAnsi="宋体" w:eastAsia="宋体" w:cs="宋体"/>
          <w:color w:val="404040"/>
          <w:sz w:val="26"/>
          <w:szCs w:val="26"/>
        </w:rPr>
        <w:t>具备</w:t>
      </w:r>
      <w:r>
        <w:rPr>
          <w:rFonts w:hint="eastAsia" w:ascii="宋体" w:hAnsi="宋体" w:eastAsia="宋体" w:cs="宋体"/>
          <w:color w:val="404040"/>
          <w:sz w:val="26"/>
          <w:szCs w:val="26"/>
          <w:lang w:eastAsia="zh-CN"/>
        </w:rPr>
        <w:t>承装（修、试）电力设施</w:t>
      </w:r>
      <w:r>
        <w:rPr>
          <w:rFonts w:hint="eastAsia" w:ascii="宋体" w:hAnsi="宋体" w:eastAsia="宋体" w:cs="宋体"/>
          <w:color w:val="404040"/>
          <w:sz w:val="26"/>
          <w:szCs w:val="26"/>
        </w:rPr>
        <w:t>许可证四级或以上资质，电力工程施工承包三级或输变电专业承包</w:t>
      </w:r>
      <w:r>
        <w:rPr>
          <w:rFonts w:hint="eastAsia" w:ascii="宋体" w:hAnsi="宋体" w:eastAsia="宋体" w:cs="宋体"/>
          <w:color w:val="404040"/>
          <w:sz w:val="26"/>
          <w:szCs w:val="26"/>
          <w:lang w:val="en-US" w:eastAsia="zh-CN"/>
        </w:rPr>
        <w:t>三级</w:t>
      </w:r>
      <w:r>
        <w:rPr>
          <w:rFonts w:hint="eastAsia" w:ascii="宋体" w:hAnsi="宋体" w:eastAsia="宋体" w:cs="宋体"/>
          <w:color w:val="404040"/>
          <w:sz w:val="26"/>
          <w:szCs w:val="26"/>
        </w:rPr>
        <w:t>以上资质及安全生产许可证</w:t>
      </w:r>
      <w:r>
        <w:rPr>
          <w:rFonts w:hint="eastAsia" w:ascii="宋体" w:hAnsi="宋体" w:eastAsia="宋体" w:cs="宋体"/>
          <w:color w:val="404040"/>
          <w:sz w:val="26"/>
          <w:szCs w:val="26"/>
          <w:lang w:eastAsia="zh-CN"/>
        </w:rPr>
        <w:t>。</w:t>
      </w:r>
    </w:p>
    <w:p>
      <w:pPr>
        <w:pStyle w:val="25"/>
        <w:numPr>
          <w:ilvl w:val="0"/>
          <w:numId w:val="1"/>
        </w:numPr>
        <w:tabs>
          <w:tab w:val="left" w:pos="420"/>
        </w:tabs>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投标人拟担任本招标项目的项目负责人须具备有效的不低于贰级机电工程专业注册建造师执业资格(或建造师临时执业资格)，并具备有效的安全生产考核合格证书(B证)</w:t>
      </w:r>
      <w:r>
        <w:rPr>
          <w:rFonts w:hint="eastAsia" w:ascii="宋体" w:hAnsi="宋体" w:eastAsia="宋体" w:cs="宋体"/>
          <w:color w:val="404040"/>
          <w:sz w:val="26"/>
          <w:szCs w:val="26"/>
          <w:lang w:eastAsia="zh-CN"/>
        </w:rPr>
        <w:t>、</w:t>
      </w:r>
      <w:r>
        <w:rPr>
          <w:rFonts w:hint="eastAsia" w:ascii="宋体" w:hAnsi="宋体" w:eastAsia="宋体" w:cs="宋体"/>
          <w:color w:val="404040"/>
          <w:sz w:val="26"/>
          <w:szCs w:val="26"/>
          <w:lang w:val="en-US" w:eastAsia="zh-CN"/>
        </w:rPr>
        <w:t>福建省应急管理厅颁发的电工证</w:t>
      </w:r>
      <w:r>
        <w:rPr>
          <w:rFonts w:hint="eastAsia" w:ascii="宋体" w:hAnsi="宋体" w:eastAsia="宋体" w:cs="宋体"/>
          <w:color w:val="404040"/>
          <w:sz w:val="26"/>
          <w:szCs w:val="26"/>
        </w:rPr>
        <w:t>。</w:t>
      </w:r>
    </w:p>
    <w:p>
      <w:pPr>
        <w:pStyle w:val="25"/>
        <w:numPr>
          <w:ilvl w:val="0"/>
          <w:numId w:val="1"/>
        </w:numPr>
        <w:tabs>
          <w:tab w:val="left" w:pos="420"/>
        </w:tabs>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资格审查采用方式：资格后审。</w:t>
      </w:r>
    </w:p>
    <w:p>
      <w:pPr>
        <w:pStyle w:val="25"/>
        <w:numPr>
          <w:ilvl w:val="0"/>
          <w:numId w:val="1"/>
        </w:numPr>
        <w:tabs>
          <w:tab w:val="left" w:pos="420"/>
        </w:tabs>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本招标项目不接受联合体投标，不接受备选投标方案，不允许分包。</w:t>
      </w:r>
    </w:p>
    <w:p>
      <w:pPr>
        <w:pStyle w:val="25"/>
        <w:numPr>
          <w:ilvl w:val="0"/>
          <w:numId w:val="1"/>
        </w:numPr>
        <w:tabs>
          <w:tab w:val="left" w:pos="420"/>
        </w:tabs>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投标人应通过“信用中国（</w:t>
      </w:r>
      <w:r>
        <w:rPr>
          <w:rFonts w:hint="eastAsia"/>
        </w:rPr>
        <w:fldChar w:fldCharType="begin"/>
      </w:r>
      <w:r>
        <w:instrText xml:space="preserve"> HYPERLINK "http://www.creditchina.gov.cn/" </w:instrText>
      </w:r>
      <w:r>
        <w:rPr>
          <w:rFonts w:hint="eastAsia"/>
        </w:rPr>
        <w:fldChar w:fldCharType="separate"/>
      </w:r>
      <w:r>
        <w:rPr>
          <w:rFonts w:hint="eastAsia"/>
          <w:color w:val="404040"/>
        </w:rPr>
        <w:t>www.creditchina.gov.cn</w:t>
      </w:r>
      <w:r>
        <w:rPr>
          <w:rFonts w:hint="eastAsia"/>
          <w:color w:val="404040"/>
        </w:rPr>
        <w:fldChar w:fldCharType="end"/>
      </w:r>
      <w:r>
        <w:rPr>
          <w:rFonts w:hint="eastAsia" w:ascii="宋体" w:hAnsi="宋体" w:eastAsia="宋体" w:cs="宋体"/>
          <w:color w:val="404040"/>
          <w:sz w:val="26"/>
          <w:szCs w:val="26"/>
        </w:rPr>
        <w:t>)”、“中国政府采购网(</w:t>
      </w:r>
      <w:r>
        <w:fldChar w:fldCharType="begin"/>
      </w:r>
      <w:r>
        <w:instrText xml:space="preserve"> HYPERLINK "http://www.ccgp.gov.cn" </w:instrText>
      </w:r>
      <w:r>
        <w:fldChar w:fldCharType="separate"/>
      </w:r>
      <w:r>
        <w:rPr>
          <w:rFonts w:hint="eastAsia"/>
          <w:color w:val="404040"/>
        </w:rPr>
        <w:t>www.ccgp.gov.cn</w:t>
      </w:r>
      <w:r>
        <w:rPr>
          <w:rFonts w:hint="eastAsia"/>
          <w:color w:val="404040"/>
        </w:rPr>
        <w:fldChar w:fldCharType="end"/>
      </w:r>
      <w:r>
        <w:rPr>
          <w:rFonts w:hint="eastAsia" w:ascii="宋体" w:hAnsi="宋体" w:eastAsia="宋体" w:cs="宋体"/>
          <w:color w:val="404040"/>
          <w:sz w:val="26"/>
          <w:szCs w:val="26"/>
        </w:rPr>
        <w:t>)”查询并打印相应的信用记录。</w:t>
      </w:r>
    </w:p>
    <w:p>
      <w:pPr>
        <w:pStyle w:val="25"/>
        <w:numPr>
          <w:ilvl w:val="0"/>
          <w:numId w:val="1"/>
        </w:numPr>
        <w:tabs>
          <w:tab w:val="left" w:pos="420"/>
        </w:tabs>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adjustRightInd/>
        <w:snapToGrid/>
        <w:spacing w:before="150" w:after="0" w:line="480" w:lineRule="atLeast"/>
        <w:ind w:left="284" w:firstLine="520" w:firstLineChars="200"/>
        <w:jc w:val="both"/>
        <w:rPr>
          <w:rFonts w:hint="eastAsia" w:ascii="宋体" w:hAnsi="宋体" w:eastAsia="宋体" w:cs="宋体"/>
          <w:color w:val="404040"/>
          <w:sz w:val="26"/>
          <w:szCs w:val="26"/>
        </w:rPr>
      </w:pPr>
      <w:r>
        <w:rPr>
          <w:rFonts w:hint="eastAsia" w:ascii="宋体" w:hAnsi="宋体" w:eastAsia="宋体" w:cs="宋体"/>
          <w:color w:val="404040"/>
          <w:sz w:val="26"/>
          <w:szCs w:val="26"/>
        </w:rPr>
        <w:t>上述提供材料均须加盖公章。</w:t>
      </w:r>
    </w:p>
    <w:p>
      <w:pPr>
        <w:adjustRightInd/>
        <w:snapToGrid/>
        <w:spacing w:before="150" w:after="0" w:line="480" w:lineRule="atLeast"/>
        <w:ind w:firstLine="520" w:firstLineChars="200"/>
        <w:jc w:val="both"/>
        <w:rPr>
          <w:rFonts w:hint="eastAsia" w:ascii="宋体" w:hAnsi="宋体" w:eastAsia="宋体" w:cs="宋体"/>
          <w:color w:val="404040"/>
          <w:sz w:val="26"/>
          <w:szCs w:val="26"/>
        </w:rPr>
      </w:pPr>
      <w:r>
        <w:rPr>
          <w:rFonts w:hint="eastAsia" w:ascii="宋体" w:hAnsi="宋体" w:eastAsia="宋体" w:cs="宋体"/>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p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黑体" w:hAnsi="黑体" w:eastAsia="黑体" w:cs="宋体"/>
          <w:b/>
          <w:bCs/>
          <w:color w:val="404040"/>
          <w:sz w:val="26"/>
        </w:rPr>
        <w:t>三、招标文件的获取</w:t>
      </w:r>
    </w:p>
    <w:p>
      <w:pPr>
        <w:adjustRightInd/>
        <w:snapToGrid/>
        <w:spacing w:before="150" w:after="0" w:line="480" w:lineRule="atLeast"/>
        <w:jc w:val="both"/>
        <w:rPr>
          <w:rFonts w:hint="eastAsia" w:ascii="宋体" w:hAnsi="宋体" w:eastAsia="宋体" w:cs="宋体"/>
          <w:color w:val="404040"/>
          <w:sz w:val="26"/>
          <w:szCs w:val="26"/>
        </w:rPr>
      </w:pPr>
      <w:r>
        <w:rPr>
          <w:rFonts w:hint="eastAsia" w:ascii="仿宋_GB2312" w:hAnsi="宋体" w:eastAsia="仿宋_GB2312" w:cs="宋体"/>
          <w:color w:val="404040"/>
          <w:sz w:val="24"/>
          <w:szCs w:val="24"/>
        </w:rPr>
        <w:t>  </w:t>
      </w:r>
      <w:r>
        <w:rPr>
          <w:rFonts w:hint="eastAsia" w:ascii="宋体" w:hAnsi="宋体" w:eastAsia="宋体" w:cs="宋体"/>
          <w:color w:val="404040"/>
          <w:sz w:val="26"/>
          <w:szCs w:val="26"/>
        </w:rPr>
        <w:t> 1、本招标项目不采用电子招投标。</w:t>
      </w:r>
    </w:p>
    <w:p>
      <w:p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   2、</w:t>
      </w:r>
      <w:r>
        <w:rPr>
          <w:rFonts w:hint="eastAsia" w:ascii="宋体" w:hAnsi="宋体" w:eastAsia="宋体" w:cs="宋体"/>
          <w:color w:val="auto"/>
          <w:sz w:val="26"/>
          <w:szCs w:val="26"/>
          <w:highlight w:val="none"/>
        </w:rPr>
        <w:t>凡有意参加投标者，请于2025年04月</w:t>
      </w:r>
      <w:r>
        <w:rPr>
          <w:rFonts w:hint="eastAsia" w:ascii="宋体" w:hAnsi="宋体" w:eastAsia="宋体" w:cs="宋体"/>
          <w:color w:val="auto"/>
          <w:sz w:val="26"/>
          <w:szCs w:val="26"/>
          <w:highlight w:val="none"/>
          <w:lang w:val="en-US" w:eastAsia="zh-CN"/>
        </w:rPr>
        <w:t>3</w:t>
      </w:r>
      <w:r>
        <w:rPr>
          <w:rFonts w:hint="eastAsia" w:ascii="宋体" w:hAnsi="宋体" w:eastAsia="宋体" w:cs="宋体"/>
          <w:color w:val="auto"/>
          <w:sz w:val="26"/>
          <w:szCs w:val="26"/>
          <w:highlight w:val="none"/>
        </w:rPr>
        <w:t>日至2025年4月</w:t>
      </w:r>
      <w:r>
        <w:rPr>
          <w:rFonts w:hint="eastAsia" w:ascii="宋体" w:hAnsi="宋体" w:eastAsia="宋体" w:cs="宋体"/>
          <w:color w:val="auto"/>
          <w:sz w:val="26"/>
          <w:szCs w:val="26"/>
          <w:highlight w:val="none"/>
          <w:lang w:val="en-US" w:eastAsia="zh-CN"/>
        </w:rPr>
        <w:t>10</w:t>
      </w:r>
      <w:r>
        <w:rPr>
          <w:rFonts w:hint="eastAsia" w:ascii="宋体" w:hAnsi="宋体" w:eastAsia="宋体" w:cs="宋体"/>
          <w:color w:val="auto"/>
          <w:sz w:val="26"/>
          <w:szCs w:val="26"/>
          <w:highlight w:val="none"/>
        </w:rPr>
        <w:t>日(节假日除外)8：00-12：00或14：00-17：00，携带加盖公章的营业执照复印件、介绍信前往福建省肿瘤医院总务科报名。</w:t>
      </w:r>
    </w:p>
    <w:p>
      <w:p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宋体" w:hAnsi="宋体" w:eastAsia="宋体" w:cs="宋体"/>
          <w:color w:val="404040"/>
          <w:sz w:val="26"/>
          <w:szCs w:val="26"/>
        </w:rPr>
        <w:t>   项目联系人：陈女士</w:t>
      </w:r>
      <w:r>
        <w:rPr>
          <w:rFonts w:hint="eastAsia" w:ascii="宋体" w:hAnsi="宋体" w:eastAsia="宋体" w:cs="宋体"/>
          <w:color w:val="404040"/>
          <w:sz w:val="26"/>
        </w:rPr>
        <w:t> </w:t>
      </w:r>
      <w:r>
        <w:rPr>
          <w:rFonts w:hint="eastAsia" w:ascii="宋体" w:hAnsi="宋体" w:eastAsia="宋体" w:cs="宋体"/>
          <w:color w:val="404040"/>
          <w:sz w:val="26"/>
          <w:szCs w:val="26"/>
        </w:rPr>
        <w:t>    联系电话：0591-62752801</w:t>
      </w:r>
    </w:p>
    <w:p>
      <w:p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黑体" w:hAnsi="黑体" w:eastAsia="黑体" w:cs="宋体"/>
          <w:b/>
          <w:bCs/>
          <w:color w:val="404040"/>
          <w:sz w:val="26"/>
        </w:rPr>
        <w:t>四、答疑截止时间</w:t>
      </w:r>
    </w:p>
    <w:p>
      <w:pPr>
        <w:adjustRightInd/>
        <w:snapToGrid/>
        <w:spacing w:before="150" w:after="0" w:line="480" w:lineRule="atLeast"/>
        <w:ind w:firstLine="480"/>
        <w:jc w:val="both"/>
        <w:rPr>
          <w:rFonts w:hint="eastAsia" w:ascii="方正仿宋简体" w:hAnsi="宋体" w:eastAsia="方正仿宋简体" w:cs="宋体"/>
          <w:color w:val="404040"/>
          <w:sz w:val="28"/>
          <w:szCs w:val="28"/>
        </w:rPr>
      </w:pPr>
      <w:r>
        <w:rPr>
          <w:rFonts w:hint="eastAsia" w:ascii="宋体" w:hAnsi="宋体" w:eastAsia="宋体" w:cs="宋体"/>
          <w:color w:val="404040"/>
          <w:sz w:val="26"/>
          <w:szCs w:val="26"/>
        </w:rPr>
        <w:t>投标人若要求澄清招标文件，应在报名时间截止前提出，招标人将随时解答。</w:t>
      </w:r>
    </w:p>
    <w:p>
      <w:pPr>
        <w:adjustRightInd/>
        <w:snapToGrid/>
        <w:spacing w:before="150" w:after="0" w:line="480" w:lineRule="atLeast"/>
        <w:jc w:val="both"/>
        <w:rPr>
          <w:rFonts w:hint="eastAsia" w:ascii="黑体" w:hAnsi="黑体" w:eastAsia="黑体" w:cs="宋体"/>
          <w:b/>
          <w:bCs/>
          <w:color w:val="404040"/>
          <w:sz w:val="26"/>
        </w:rPr>
      </w:pPr>
    </w:p>
    <w:p>
      <w:p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黑体" w:hAnsi="黑体" w:eastAsia="黑体" w:cs="宋体"/>
          <w:b/>
          <w:bCs/>
          <w:color w:val="404040"/>
          <w:sz w:val="26"/>
        </w:rPr>
        <w:t>五、投标文件的要求及递交</w:t>
      </w:r>
    </w:p>
    <w:p>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投标文件正本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w:t>
      </w:r>
      <w:r>
        <w:rPr>
          <w:rFonts w:ascii="宋体" w:hAnsi="宋体" w:eastAsia="宋体" w:cs="宋体"/>
          <w:color w:val="404040"/>
          <w:sz w:val="26"/>
          <w:szCs w:val="26"/>
        </w:rPr>
        <w:t>,</w:t>
      </w:r>
      <w:r>
        <w:rPr>
          <w:rFonts w:hint="eastAsia" w:ascii="宋体" w:hAnsi="宋体" w:eastAsia="宋体" w:cs="宋体"/>
          <w:color w:val="404040"/>
          <w:sz w:val="26"/>
          <w:szCs w:val="26"/>
        </w:rPr>
        <w:t>副本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份胶装并密封加盖投标人公章。投标文件未胶装密封将导致其投标文件被拒绝。</w:t>
      </w:r>
    </w:p>
    <w:p>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投标文件递交的截止时间： 2025年4月</w:t>
      </w:r>
      <w:r>
        <w:rPr>
          <w:rFonts w:hint="eastAsia" w:ascii="宋体" w:hAnsi="宋体" w:eastAsia="宋体" w:cs="宋体"/>
          <w:color w:val="404040"/>
          <w:sz w:val="26"/>
          <w:szCs w:val="26"/>
          <w:lang w:val="en-US" w:eastAsia="zh-CN"/>
        </w:rPr>
        <w:t>11</w:t>
      </w:r>
      <w:r>
        <w:rPr>
          <w:rFonts w:hint="eastAsia" w:ascii="宋体" w:hAnsi="宋体" w:eastAsia="宋体" w:cs="宋体"/>
          <w:color w:val="404040"/>
          <w:sz w:val="26"/>
          <w:szCs w:val="26"/>
        </w:rPr>
        <w:t>日09：00，提交地点为福建省肿瘤医院总务科，未送达指定地点或逾期送达者拒收。</w:t>
      </w:r>
    </w:p>
    <w:p>
      <w:p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黑体" w:hAnsi="黑体" w:eastAsia="黑体" w:cs="宋体"/>
          <w:b/>
          <w:bCs/>
          <w:color w:val="404040"/>
          <w:sz w:val="26"/>
        </w:rPr>
        <w:t>六、开标评标时间地点</w:t>
      </w:r>
    </w:p>
    <w:p>
      <w:pPr>
        <w:numPr>
          <w:ilvl w:val="0"/>
          <w:numId w:val="3"/>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开标时间：2025年4月</w:t>
      </w:r>
      <w:r>
        <w:rPr>
          <w:rFonts w:hint="eastAsia" w:ascii="宋体" w:hAnsi="宋体" w:eastAsia="宋体" w:cs="宋体"/>
          <w:color w:val="404040"/>
          <w:sz w:val="26"/>
          <w:szCs w:val="26"/>
          <w:lang w:val="en-US" w:eastAsia="zh-CN"/>
        </w:rPr>
        <w:t>11</w:t>
      </w:r>
      <w:r>
        <w:rPr>
          <w:rFonts w:hint="eastAsia" w:ascii="宋体" w:hAnsi="宋体" w:eastAsia="宋体" w:cs="宋体"/>
          <w:color w:val="404040"/>
          <w:sz w:val="26"/>
          <w:szCs w:val="26"/>
        </w:rPr>
        <w:t>日09：00</w:t>
      </w:r>
    </w:p>
    <w:p>
      <w:pPr>
        <w:numPr>
          <w:ilvl w:val="0"/>
          <w:numId w:val="3"/>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评标时间：开标后即开始评标。</w:t>
      </w:r>
    </w:p>
    <w:p>
      <w:pPr>
        <w:numPr>
          <w:ilvl w:val="0"/>
          <w:numId w:val="3"/>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地点：福建省肿瘤医院科研楼一楼总务科</w:t>
      </w:r>
    </w:p>
    <w:p>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备注：</w:t>
      </w:r>
    </w:p>
    <w:p>
      <w:pPr>
        <w:numPr>
          <w:ilvl w:val="0"/>
          <w:numId w:val="4"/>
        </w:numPr>
        <w:spacing w:before="150" w:line="560" w:lineRule="exact"/>
        <w:rPr>
          <w:rFonts w:hint="eastAsia" w:ascii="宋体" w:hAnsi="宋体" w:eastAsia="宋体" w:cs="宋体"/>
          <w:color w:val="404040"/>
          <w:sz w:val="26"/>
          <w:szCs w:val="26"/>
        </w:rPr>
      </w:pPr>
      <w:r>
        <w:rPr>
          <w:rFonts w:hint="eastAsia" w:ascii="宋体" w:hAnsi="宋体" w:eastAsia="宋体" w:cs="宋体"/>
          <w:color w:val="404040"/>
          <w:sz w:val="26"/>
          <w:szCs w:val="26"/>
        </w:rPr>
        <w:t>未参加报名的潜在投标人，其投标文件将被拒绝。</w:t>
      </w:r>
    </w:p>
    <w:p>
      <w:pPr>
        <w:numPr>
          <w:ilvl w:val="0"/>
          <w:numId w:val="4"/>
        </w:numPr>
        <w:spacing w:before="150" w:line="560" w:lineRule="exact"/>
        <w:rPr>
          <w:rFonts w:hint="eastAsia" w:ascii="宋体" w:hAnsi="宋体" w:eastAsia="宋体" w:cs="宋体"/>
          <w:color w:val="404040"/>
          <w:sz w:val="26"/>
          <w:szCs w:val="26"/>
        </w:rPr>
      </w:pPr>
      <w:r>
        <w:rPr>
          <w:rFonts w:hint="eastAsia" w:ascii="宋体" w:hAnsi="宋体" w:eastAsia="宋体" w:cs="宋体"/>
          <w:color w:val="404040"/>
          <w:sz w:val="26"/>
          <w:szCs w:val="26"/>
        </w:rPr>
        <w:t>若有涉及招标文件内容更正，请各潜在投标人密切关注福建省肿瘤医院官网通知，以最新公告为准。</w:t>
      </w:r>
    </w:p>
    <w:p>
      <w:p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黑体" w:hAnsi="黑体" w:eastAsia="黑体" w:cs="宋体"/>
          <w:b/>
          <w:bCs/>
          <w:color w:val="404040"/>
          <w:sz w:val="26"/>
        </w:rPr>
        <w:t>八、评标原则及办法</w:t>
      </w:r>
    </w:p>
    <w:p>
      <w:pPr>
        <w:numPr>
          <w:ilvl w:val="0"/>
          <w:numId w:val="5"/>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评标活动遵循公平、公正、科学和择优的原则。</w:t>
      </w:r>
    </w:p>
    <w:p>
      <w:pPr>
        <w:numPr>
          <w:ilvl w:val="0"/>
          <w:numId w:val="5"/>
        </w:num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宋体" w:hAnsi="宋体" w:eastAsia="宋体" w:cs="宋体"/>
          <w:color w:val="404040"/>
          <w:sz w:val="26"/>
          <w:szCs w:val="26"/>
        </w:rPr>
        <w:t>评标方法：综合评分。</w:t>
      </w:r>
    </w:p>
    <w:p>
      <w:pPr>
        <w:numPr>
          <w:ilvl w:val="0"/>
          <w:numId w:val="5"/>
        </w:num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宋体" w:hAnsi="宋体" w:eastAsia="宋体" w:cs="宋体"/>
          <w:color w:val="404040"/>
          <w:sz w:val="26"/>
          <w:szCs w:val="26"/>
        </w:rPr>
        <w:t>投标人之间有相互串通投标、弄虚作假等违规行为者，将作废标处理，并在我院未来的项目招标中被拒绝接受投标。</w:t>
      </w:r>
    </w:p>
    <w:p>
      <w:pPr>
        <w:adjustRightInd/>
        <w:snapToGrid/>
        <w:spacing w:before="150" w:after="0" w:line="480" w:lineRule="atLeast"/>
        <w:ind w:firstLine="480"/>
        <w:jc w:val="both"/>
        <w:rPr>
          <w:rFonts w:hint="eastAsia" w:ascii="方正仿宋简体" w:hAnsi="宋体" w:eastAsia="方正仿宋简体" w:cs="宋体"/>
          <w:color w:val="404040"/>
          <w:sz w:val="28"/>
          <w:szCs w:val="28"/>
        </w:rPr>
      </w:pPr>
    </w:p>
    <w:p>
      <w:p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黑体" w:hAnsi="黑体" w:eastAsia="黑体" w:cs="宋体"/>
          <w:b/>
          <w:bCs/>
          <w:color w:val="404040"/>
          <w:sz w:val="26"/>
        </w:rPr>
        <w:t>九、合同条款内容及签订</w:t>
      </w:r>
    </w:p>
    <w:p>
      <w:pPr>
        <w:adjustRightInd/>
        <w:snapToGrid/>
        <w:spacing w:before="150" w:after="0" w:line="480" w:lineRule="atLeast"/>
        <w:ind w:firstLine="480"/>
        <w:jc w:val="both"/>
        <w:rPr>
          <w:rFonts w:hint="eastAsia" w:ascii="方正仿宋简体" w:hAnsi="宋体" w:eastAsia="方正仿宋简体" w:cs="宋体"/>
          <w:color w:val="404040"/>
          <w:sz w:val="28"/>
          <w:szCs w:val="28"/>
        </w:rPr>
      </w:pPr>
      <w:r>
        <w:rPr>
          <w:rFonts w:hint="eastAsia" w:ascii="宋体" w:hAnsi="宋体" w:eastAsia="宋体" w:cs="宋体"/>
          <w:color w:val="404040"/>
          <w:sz w:val="26"/>
          <w:szCs w:val="26"/>
        </w:rPr>
        <w:t>1、合同专用条款内容依照国家规范文本，合同通用条款内容解释依照国家规范文本。</w:t>
      </w:r>
    </w:p>
    <w:p>
      <w:pPr>
        <w:adjustRightInd/>
        <w:snapToGrid/>
        <w:spacing w:before="150" w:after="0" w:line="480" w:lineRule="atLeast"/>
        <w:ind w:firstLine="480"/>
        <w:jc w:val="both"/>
        <w:rPr>
          <w:rFonts w:hint="eastAsia" w:ascii="方正仿宋简体" w:hAnsi="宋体" w:eastAsia="方正仿宋简体" w:cs="宋体"/>
          <w:color w:val="404040"/>
          <w:sz w:val="28"/>
          <w:szCs w:val="28"/>
        </w:rPr>
      </w:pPr>
      <w:r>
        <w:rPr>
          <w:rFonts w:hint="eastAsia" w:ascii="宋体" w:hAnsi="宋体" w:eastAsia="宋体" w:cs="宋体"/>
          <w:color w:val="404040"/>
          <w:sz w:val="26"/>
          <w:szCs w:val="26"/>
        </w:rPr>
        <w:t>2、合同签订：中标人在接到中标通知后3天内，应派代表与</w:t>
      </w:r>
      <w:r>
        <w:rPr>
          <w:rFonts w:hint="eastAsia" w:ascii="宋体" w:hAnsi="宋体" w:eastAsia="宋体" w:cs="宋体"/>
          <w:color w:val="404040"/>
          <w:sz w:val="26"/>
          <w:szCs w:val="26"/>
          <w:lang w:eastAsia="zh-CN"/>
        </w:rPr>
        <w:t>采购人</w:t>
      </w:r>
      <w:r>
        <w:rPr>
          <w:rFonts w:hint="eastAsia" w:ascii="宋体" w:hAnsi="宋体" w:eastAsia="宋体" w:cs="宋体"/>
          <w:color w:val="404040"/>
          <w:sz w:val="26"/>
          <w:szCs w:val="26"/>
        </w:rPr>
        <w:t>联系，商讨签订合同事宜。</w:t>
      </w:r>
    </w:p>
    <w:p>
      <w:pPr>
        <w:adjustRightInd/>
        <w:snapToGrid/>
        <w:spacing w:after="0" w:line="480" w:lineRule="atLeast"/>
        <w:jc w:val="both"/>
        <w:rPr>
          <w:rFonts w:hint="eastAsia" w:ascii="方正仿宋简体" w:hAnsi="宋体" w:eastAsia="方正仿宋简体" w:cs="宋体"/>
          <w:color w:val="404040"/>
          <w:sz w:val="28"/>
          <w:szCs w:val="28"/>
        </w:rPr>
      </w:pPr>
      <w:r>
        <w:rPr>
          <w:rFonts w:hint="eastAsia" w:ascii="黑体" w:hAnsi="黑体" w:eastAsia="黑体" w:cs="宋体"/>
          <w:b/>
          <w:bCs/>
          <w:color w:val="404040"/>
          <w:sz w:val="26"/>
        </w:rPr>
        <w:t>十、付款方式与条件</w:t>
      </w:r>
    </w:p>
    <w:p>
      <w:pPr>
        <w:adjustRightInd/>
        <w:snapToGrid/>
        <w:spacing w:after="0" w:line="480" w:lineRule="atLeast"/>
        <w:ind w:firstLine="480"/>
        <w:jc w:val="both"/>
        <w:rPr>
          <w:rFonts w:ascii="方正仿宋简体" w:hAnsi="宋体" w:eastAsia="方正仿宋简体" w:cs="宋体"/>
          <w:color w:val="auto"/>
          <w:sz w:val="28"/>
          <w:szCs w:val="28"/>
          <w:highlight w:val="none"/>
        </w:rPr>
      </w:pPr>
      <w:r>
        <w:rPr>
          <w:rFonts w:hint="eastAsia" w:ascii="宋体" w:hAnsi="宋体" w:eastAsia="宋体" w:cs="宋体"/>
          <w:color w:val="auto"/>
          <w:sz w:val="26"/>
          <w:szCs w:val="26"/>
          <w:highlight w:val="none"/>
          <w:lang w:val="en-US" w:eastAsia="zh-CN"/>
        </w:rPr>
        <w:t>服务期内，分三次支付，每次</w:t>
      </w:r>
      <w:r>
        <w:rPr>
          <w:rFonts w:hint="eastAsia" w:ascii="宋体" w:hAnsi="宋体" w:eastAsia="宋体" w:cs="宋体"/>
          <w:color w:val="auto"/>
          <w:sz w:val="26"/>
          <w:szCs w:val="26"/>
          <w:highlight w:val="none"/>
          <w:lang w:eastAsia="zh-CN"/>
        </w:rPr>
        <w:t>支付金额为合同金额的</w:t>
      </w:r>
      <w:r>
        <w:rPr>
          <w:rFonts w:hint="eastAsia" w:ascii="宋体" w:hAnsi="宋体" w:eastAsia="宋体" w:cs="宋体"/>
          <w:color w:val="auto"/>
          <w:sz w:val="26"/>
          <w:szCs w:val="26"/>
          <w:highlight w:val="none"/>
          <w:lang w:val="en-US" w:eastAsia="zh-CN"/>
        </w:rPr>
        <w:t>1/3。即每一年度年检服务完成后</w:t>
      </w:r>
      <w:r>
        <w:rPr>
          <w:rFonts w:hint="eastAsia" w:ascii="宋体" w:hAnsi="宋体" w:eastAsia="宋体" w:cs="宋体"/>
          <w:color w:val="auto"/>
          <w:sz w:val="26"/>
          <w:szCs w:val="26"/>
          <w:highlight w:val="none"/>
        </w:rPr>
        <w:t>，</w:t>
      </w:r>
      <w:r>
        <w:rPr>
          <w:rFonts w:hint="eastAsia" w:ascii="宋体" w:hAnsi="宋体" w:eastAsia="宋体" w:cs="宋体"/>
          <w:color w:val="auto"/>
          <w:sz w:val="26"/>
          <w:szCs w:val="26"/>
          <w:highlight w:val="none"/>
          <w:lang w:eastAsia="zh-CN"/>
        </w:rPr>
        <w:t>中标方出具检测报告，</w:t>
      </w:r>
      <w:r>
        <w:rPr>
          <w:rFonts w:hint="eastAsia" w:ascii="宋体" w:hAnsi="宋体" w:eastAsia="宋体" w:cs="宋体"/>
          <w:color w:val="auto"/>
          <w:sz w:val="26"/>
          <w:szCs w:val="26"/>
          <w:highlight w:val="none"/>
        </w:rPr>
        <w:t>经</w:t>
      </w:r>
      <w:r>
        <w:rPr>
          <w:rFonts w:hint="eastAsia" w:ascii="宋体" w:hAnsi="宋体" w:eastAsia="宋体" w:cs="宋体"/>
          <w:color w:val="auto"/>
          <w:sz w:val="26"/>
          <w:szCs w:val="26"/>
          <w:highlight w:val="none"/>
          <w:lang w:eastAsia="zh-CN"/>
        </w:rPr>
        <w:t>采购人</w:t>
      </w:r>
      <w:r>
        <w:rPr>
          <w:rFonts w:hint="eastAsia" w:ascii="宋体" w:hAnsi="宋体" w:eastAsia="宋体" w:cs="宋体"/>
          <w:color w:val="auto"/>
          <w:sz w:val="26"/>
          <w:szCs w:val="26"/>
          <w:highlight w:val="none"/>
        </w:rPr>
        <w:t>验收合格后，</w:t>
      </w:r>
      <w:r>
        <w:rPr>
          <w:rFonts w:hint="eastAsia" w:ascii="宋体" w:hAnsi="宋体" w:eastAsia="宋体" w:cs="宋体"/>
          <w:color w:val="auto"/>
          <w:sz w:val="26"/>
          <w:szCs w:val="26"/>
          <w:highlight w:val="none"/>
          <w:lang w:eastAsia="zh-CN"/>
        </w:rPr>
        <w:t>并收到的正规发票后，</w:t>
      </w:r>
      <w:r>
        <w:rPr>
          <w:rFonts w:hint="eastAsia" w:ascii="宋体" w:hAnsi="宋体" w:eastAsia="宋体" w:cs="宋体"/>
          <w:color w:val="auto"/>
          <w:sz w:val="26"/>
          <w:szCs w:val="26"/>
          <w:highlight w:val="none"/>
          <w:lang w:val="en-US" w:eastAsia="zh-CN"/>
        </w:rPr>
        <w:t>20个工作日内，支付年度的相应款项。具体支付方式和支付金额以合同条款为准</w:t>
      </w:r>
      <w:r>
        <w:rPr>
          <w:rFonts w:hint="eastAsia" w:ascii="宋体" w:hAnsi="宋体" w:eastAsia="宋体" w:cs="宋体"/>
          <w:color w:val="auto"/>
          <w:sz w:val="26"/>
          <w:szCs w:val="26"/>
          <w:highlight w:val="none"/>
        </w:rPr>
        <w:t>。</w:t>
      </w:r>
    </w:p>
    <w:p>
      <w:pPr>
        <w:adjustRightInd/>
        <w:snapToGrid/>
        <w:spacing w:before="150" w:after="0" w:line="480" w:lineRule="atLeast"/>
        <w:jc w:val="both"/>
        <w:rPr>
          <w:rFonts w:hint="eastAsia" w:ascii="方正仿宋简体" w:hAnsi="宋体" w:eastAsia="方正仿宋简体" w:cs="宋体"/>
          <w:color w:val="404040"/>
          <w:sz w:val="28"/>
          <w:szCs w:val="28"/>
        </w:rPr>
      </w:pPr>
      <w:r>
        <w:rPr>
          <w:rFonts w:hint="eastAsia" w:ascii="黑体" w:hAnsi="黑体" w:eastAsia="黑体" w:cs="宋体"/>
          <w:b/>
          <w:bCs/>
          <w:color w:val="404040"/>
          <w:sz w:val="26"/>
        </w:rPr>
        <w:t>十一、其他未详尽事宜</w:t>
      </w:r>
    </w:p>
    <w:p>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依照国家政府采购有关规定。</w:t>
      </w:r>
    </w:p>
    <w:p>
      <w:pPr>
        <w:adjustRightInd/>
        <w:snapToGrid/>
        <w:spacing w:before="150" w:after="0" w:line="480" w:lineRule="atLeast"/>
        <w:ind w:firstLine="480"/>
        <w:jc w:val="both"/>
        <w:rPr>
          <w:rFonts w:hint="eastAsia" w:ascii="宋体" w:hAnsi="宋体" w:eastAsia="宋体" w:cs="宋体"/>
          <w:color w:val="404040"/>
          <w:sz w:val="26"/>
          <w:szCs w:val="26"/>
        </w:rPr>
      </w:pPr>
    </w:p>
    <w:p>
      <w:pPr>
        <w:adjustRightInd/>
        <w:snapToGrid/>
        <w:spacing w:before="150" w:after="0" w:line="480" w:lineRule="atLeast"/>
        <w:ind w:firstLine="480"/>
        <w:jc w:val="both"/>
        <w:rPr>
          <w:rFonts w:hint="eastAsia" w:ascii="宋体" w:hAnsi="宋体" w:eastAsia="宋体" w:cs="宋体"/>
          <w:color w:val="404040"/>
          <w:sz w:val="26"/>
          <w:szCs w:val="26"/>
        </w:rPr>
      </w:pPr>
    </w:p>
    <w:p>
      <w:pPr>
        <w:adjustRightInd/>
        <w:snapToGrid/>
        <w:spacing w:after="0"/>
        <w:jc w:val="right"/>
        <w:rPr>
          <w:rFonts w:hint="eastAsia" w:ascii="宋体" w:hAnsi="宋体" w:eastAsia="宋体" w:cs="宋体"/>
          <w:color w:val="404040"/>
          <w:sz w:val="26"/>
          <w:szCs w:val="26"/>
          <w:lang w:val="en-US" w:eastAsia="zh-CN"/>
        </w:rPr>
      </w:pPr>
      <w:r>
        <w:rPr>
          <w:rFonts w:hint="eastAsia" w:ascii="宋体" w:hAnsi="宋体" w:eastAsia="宋体" w:cs="宋体"/>
          <w:color w:val="404040"/>
          <w:sz w:val="26"/>
          <w:szCs w:val="26"/>
          <w:lang w:val="en-US" w:eastAsia="zh-CN"/>
        </w:rPr>
        <w:t>福建省肿瘤医院</w:t>
      </w:r>
    </w:p>
    <w:p>
      <w:pPr>
        <w:adjustRightInd/>
        <w:snapToGrid/>
        <w:spacing w:after="0"/>
        <w:jc w:val="right"/>
        <w:rPr>
          <w:rFonts w:hint="eastAsia" w:ascii="宋体" w:hAnsi="宋体" w:eastAsia="宋体" w:cs="宋体"/>
          <w:color w:val="404040"/>
          <w:sz w:val="26"/>
          <w:szCs w:val="26"/>
        </w:rPr>
      </w:pPr>
      <w:r>
        <w:rPr>
          <w:rFonts w:hint="eastAsia" w:ascii="宋体" w:hAnsi="宋体" w:eastAsia="宋体" w:cs="宋体"/>
          <w:color w:val="404040"/>
          <w:sz w:val="26"/>
          <w:szCs w:val="26"/>
          <w:lang w:val="en-US" w:eastAsia="zh-CN"/>
        </w:rPr>
        <w:t>2025年4月2日</w:t>
      </w:r>
      <w:r>
        <w:rPr>
          <w:rFonts w:hint="eastAsia" w:ascii="宋体" w:hAnsi="宋体" w:eastAsia="宋体" w:cs="宋体"/>
          <w:color w:val="404040"/>
          <w:sz w:val="26"/>
          <w:szCs w:val="26"/>
        </w:rPr>
        <w:br w:type="page"/>
      </w:r>
      <w:r>
        <w:rPr>
          <w:rFonts w:hint="eastAsia" w:ascii="宋体" w:hAnsi="宋体" w:eastAsia="宋体" w:cs="宋体"/>
          <w:color w:val="404040"/>
          <w:sz w:val="26"/>
          <w:szCs w:val="26"/>
        </w:rPr>
        <w:t>报价内容一览</w:t>
      </w:r>
    </w:p>
    <w:tbl>
      <w:tblPr>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8"/>
        <w:gridCol w:w="1560"/>
        <w:gridCol w:w="1417"/>
        <w:gridCol w:w="1417"/>
        <w:gridCol w:w="1417"/>
        <w:gridCol w:w="1417"/>
      </w:tblGrid>
      <w:tr>
        <w:trPr>
          <w:trHeight w:val="784" w:hRule="atLeast"/>
          <w:jc w:val="center"/>
        </w:trPr>
        <w:tc>
          <w:tcPr>
            <w:tcW w:w="1718" w:type="dxa"/>
            <w:shd w:val="clear" w:color="FFFFFF" w:fill="auto"/>
            <w:vAlign w:val="center"/>
          </w:tcPr>
          <w:p>
            <w:pPr>
              <w:jc w:val="center"/>
              <w:rPr>
                <w:rFonts w:hint="eastAsia" w:ascii="宋体" w:hAnsi="宋体" w:eastAsia="宋体" w:cs="宋体"/>
                <w:color w:val="404040"/>
                <w:sz w:val="26"/>
                <w:szCs w:val="26"/>
              </w:rPr>
            </w:pPr>
            <w:r>
              <w:rPr>
                <w:rFonts w:hint="eastAsia" w:ascii="宋体" w:hAnsi="宋体" w:eastAsia="宋体" w:cs="宋体"/>
                <w:color w:val="404040"/>
                <w:sz w:val="26"/>
                <w:szCs w:val="26"/>
              </w:rPr>
              <w:t>项 目 名 称</w:t>
            </w:r>
          </w:p>
        </w:tc>
        <w:tc>
          <w:tcPr>
            <w:tcW w:w="1560" w:type="dxa"/>
            <w:shd w:val="clear" w:color="FFFFFF" w:fill="auto"/>
            <w:vAlign w:val="center"/>
          </w:tcPr>
          <w:p>
            <w:pPr>
              <w:jc w:val="center"/>
              <w:rPr>
                <w:rFonts w:hint="eastAsia" w:ascii="宋体" w:hAnsi="宋体" w:eastAsia="宋体" w:cs="宋体"/>
                <w:color w:val="404040"/>
                <w:sz w:val="26"/>
                <w:szCs w:val="26"/>
              </w:rPr>
            </w:pPr>
            <w:r>
              <w:rPr>
                <w:rFonts w:hint="eastAsia" w:ascii="宋体" w:hAnsi="宋体" w:eastAsia="宋体" w:cs="宋体"/>
                <w:color w:val="404040"/>
                <w:sz w:val="26"/>
                <w:szCs w:val="26"/>
              </w:rPr>
              <w:t>招标方式</w:t>
            </w:r>
          </w:p>
        </w:tc>
        <w:tc>
          <w:tcPr>
            <w:tcW w:w="1417" w:type="dxa"/>
            <w:shd w:val="clear" w:color="FFFFFF" w:fill="auto"/>
            <w:vAlign w:val="center"/>
          </w:tcPr>
          <w:p>
            <w:pPr>
              <w:jc w:val="center"/>
              <w:rPr>
                <w:rFonts w:hint="eastAsia" w:ascii="宋体" w:hAnsi="宋体" w:eastAsia="宋体" w:cs="宋体"/>
                <w:color w:val="404040"/>
                <w:sz w:val="26"/>
                <w:szCs w:val="26"/>
                <w:lang w:val="en-US" w:eastAsia="zh-CN"/>
              </w:rPr>
            </w:pPr>
            <w:r>
              <w:rPr>
                <w:rFonts w:hint="eastAsia" w:ascii="宋体" w:hAnsi="宋体" w:eastAsia="宋体" w:cs="宋体"/>
                <w:color w:val="404040"/>
                <w:sz w:val="26"/>
                <w:szCs w:val="26"/>
              </w:rPr>
              <w:t>控制价</w:t>
            </w:r>
            <w:r>
              <w:rPr>
                <w:rFonts w:hint="eastAsia" w:ascii="宋体" w:hAnsi="宋体" w:eastAsia="宋体" w:cs="宋体"/>
                <w:color w:val="404040"/>
                <w:sz w:val="26"/>
                <w:szCs w:val="26"/>
                <w:lang w:val="en-US" w:eastAsia="zh-CN"/>
              </w:rPr>
              <w:t>/</w:t>
            </w:r>
            <w:r>
              <w:rPr>
                <w:rFonts w:hint="eastAsia" w:ascii="宋体" w:hAnsi="宋体" w:eastAsia="宋体" w:cs="宋体"/>
                <w:color w:val="404040"/>
                <w:sz w:val="26"/>
                <w:szCs w:val="26"/>
                <w:lang w:eastAsia="zh-CN"/>
              </w:rPr>
              <w:t>（</w:t>
            </w:r>
            <w:r>
              <w:rPr>
                <w:rFonts w:hint="eastAsia" w:ascii="宋体" w:hAnsi="宋体" w:eastAsia="宋体" w:cs="宋体"/>
                <w:color w:val="404040"/>
                <w:sz w:val="26"/>
                <w:szCs w:val="26"/>
                <w:lang w:val="en-US" w:eastAsia="zh-CN"/>
              </w:rPr>
              <w:t>3年</w:t>
            </w:r>
            <w:r>
              <w:rPr>
                <w:rFonts w:hint="eastAsia" w:ascii="宋体" w:hAnsi="宋体" w:eastAsia="宋体" w:cs="宋体"/>
                <w:color w:val="404040"/>
                <w:sz w:val="26"/>
                <w:szCs w:val="26"/>
                <w:lang w:eastAsia="zh-CN"/>
              </w:rPr>
              <w:t>）</w:t>
            </w:r>
          </w:p>
        </w:tc>
        <w:tc>
          <w:tcPr>
            <w:tcW w:w="1417" w:type="dxa"/>
            <w:shd w:val="clear" w:color="FFFFFF" w:fill="auto"/>
            <w:vAlign w:val="top"/>
          </w:tcPr>
          <w:p>
            <w:pPr>
              <w:spacing w:line="50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服务期</w:t>
            </w:r>
          </w:p>
        </w:tc>
        <w:tc>
          <w:tcPr>
            <w:tcW w:w="1417" w:type="dxa"/>
            <w:shd w:val="clear" w:color="FFFFFF" w:fill="auto"/>
            <w:vAlign w:val="center"/>
          </w:tcPr>
          <w:p>
            <w:pPr>
              <w:spacing w:line="50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数量</w:t>
            </w:r>
          </w:p>
        </w:tc>
        <w:tc>
          <w:tcPr>
            <w:tcW w:w="1417" w:type="dxa"/>
            <w:shd w:val="clear" w:color="FFFFFF" w:fill="auto"/>
            <w:vAlign w:val="center"/>
          </w:tcPr>
          <w:p>
            <w:pPr>
              <w:spacing w:line="50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要求</w:t>
            </w:r>
          </w:p>
        </w:tc>
      </w:tr>
      <w:tr>
        <w:trPr>
          <w:trHeight w:val="2574" w:hRule="atLeast"/>
          <w:jc w:val="center"/>
        </w:trPr>
        <w:tc>
          <w:tcPr>
            <w:tcW w:w="1718" w:type="dxa"/>
            <w:vAlign w:val="center"/>
          </w:tcPr>
          <w:p>
            <w:pPr>
              <w:spacing w:line="36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福建省肿瘤医院配电房年检服务项目</w:t>
            </w:r>
          </w:p>
        </w:tc>
        <w:tc>
          <w:tcPr>
            <w:tcW w:w="1560" w:type="dxa"/>
            <w:vAlign w:val="center"/>
          </w:tcPr>
          <w:p>
            <w:pPr>
              <w:spacing w:line="36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综合评分</w:t>
            </w:r>
          </w:p>
        </w:tc>
        <w:tc>
          <w:tcPr>
            <w:tcW w:w="1417" w:type="dxa"/>
            <w:vAlign w:val="center"/>
          </w:tcPr>
          <w:p>
            <w:pPr>
              <w:jc w:val="center"/>
              <w:rPr>
                <w:rFonts w:hint="eastAsia" w:ascii="宋体" w:hAnsi="宋体" w:eastAsia="宋体" w:cs="宋体"/>
                <w:color w:val="404040"/>
                <w:sz w:val="26"/>
                <w:szCs w:val="26"/>
              </w:rPr>
            </w:pPr>
            <w:r>
              <w:rPr>
                <w:rFonts w:hint="eastAsia" w:ascii="宋体" w:hAnsi="宋体" w:eastAsia="宋体" w:cs="宋体"/>
                <w:b w:val="0"/>
                <w:bCs w:val="0"/>
                <w:color w:val="404040"/>
                <w:sz w:val="26"/>
                <w:szCs w:val="26"/>
              </w:rPr>
              <w:t>28.65万</w:t>
            </w:r>
          </w:p>
        </w:tc>
        <w:tc>
          <w:tcPr>
            <w:tcW w:w="1417" w:type="dxa"/>
            <w:vAlign w:val="center"/>
          </w:tcPr>
          <w:p>
            <w:pPr>
              <w:spacing w:line="50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3年</w:t>
            </w:r>
          </w:p>
        </w:tc>
        <w:tc>
          <w:tcPr>
            <w:tcW w:w="1417" w:type="dxa"/>
            <w:vAlign w:val="center"/>
          </w:tcPr>
          <w:p>
            <w:pPr>
              <w:spacing w:line="500" w:lineRule="exact"/>
              <w:jc w:val="center"/>
              <w:rPr>
                <w:rFonts w:hint="eastAsia" w:ascii="宋体" w:hAnsi="宋体" w:eastAsia="宋体" w:cs="宋体"/>
                <w:color w:val="404040"/>
                <w:sz w:val="26"/>
                <w:szCs w:val="26"/>
                <w:lang w:eastAsia="zh-CN"/>
              </w:rPr>
            </w:pPr>
            <w:r>
              <w:rPr>
                <w:rFonts w:hint="eastAsia" w:ascii="宋体" w:hAnsi="宋体" w:eastAsia="宋体" w:cs="宋体"/>
                <w:color w:val="404040"/>
                <w:sz w:val="26"/>
                <w:szCs w:val="26"/>
              </w:rPr>
              <w:t>见附件</w:t>
            </w:r>
          </w:p>
        </w:tc>
        <w:tc>
          <w:tcPr>
            <w:tcW w:w="1417" w:type="dxa"/>
            <w:vAlign w:val="center"/>
          </w:tcPr>
          <w:p>
            <w:pPr>
              <w:spacing w:line="500" w:lineRule="exact"/>
              <w:jc w:val="center"/>
              <w:rPr>
                <w:rFonts w:hint="eastAsia" w:ascii="宋体" w:hAnsi="宋体" w:eastAsia="宋体" w:cs="宋体"/>
                <w:color w:val="404040"/>
                <w:sz w:val="26"/>
                <w:szCs w:val="26"/>
                <w:lang w:eastAsia="zh-CN"/>
              </w:rPr>
            </w:pPr>
            <w:r>
              <w:rPr>
                <w:rFonts w:hint="eastAsia" w:ascii="宋体" w:hAnsi="宋体" w:eastAsia="宋体" w:cs="宋体"/>
                <w:color w:val="404040"/>
                <w:sz w:val="26"/>
                <w:szCs w:val="26"/>
              </w:rPr>
              <w:t>详见附件</w:t>
            </w:r>
          </w:p>
        </w:tc>
      </w:tr>
    </w:tbl>
    <w:p>
      <w:pPr>
        <w:spacing w:line="22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备注：</w:t>
      </w:r>
    </w:p>
    <w:p>
      <w:pPr>
        <w:spacing w:line="220" w:lineRule="atLeast"/>
        <w:rPr>
          <w:rFonts w:hint="eastAsia" w:ascii="宋体" w:hAnsi="宋体" w:eastAsia="宋体" w:cs="宋体"/>
          <w:color w:val="404040"/>
          <w:sz w:val="26"/>
          <w:szCs w:val="26"/>
          <w:lang w:val="en-US" w:eastAsia="zh-CN"/>
        </w:rPr>
      </w:pPr>
      <w:r>
        <w:rPr>
          <w:rFonts w:hint="eastAsia" w:ascii="宋体" w:hAnsi="宋体" w:eastAsia="宋体" w:cs="宋体"/>
          <w:color w:val="404040"/>
          <w:sz w:val="26"/>
          <w:szCs w:val="26"/>
        </w:rPr>
        <w:t>1）</w:t>
      </w:r>
      <w:r>
        <w:rPr>
          <w:rFonts w:hint="eastAsia" w:ascii="宋体" w:hAnsi="宋体" w:eastAsia="宋体" w:cs="宋体"/>
          <w:color w:val="404040"/>
          <w:sz w:val="26"/>
          <w:szCs w:val="26"/>
          <w:lang w:eastAsia="zh-CN"/>
        </w:rPr>
        <w:t>报价：根据附件一，提供分项报价，年度服务费报价；并</w:t>
      </w:r>
      <w:r>
        <w:rPr>
          <w:rFonts w:hint="eastAsia" w:ascii="宋体" w:hAnsi="宋体" w:eastAsia="宋体" w:cs="宋体"/>
          <w:color w:val="404040"/>
          <w:sz w:val="26"/>
          <w:szCs w:val="26"/>
          <w:lang w:val="en-US" w:eastAsia="zh-CN"/>
        </w:rPr>
        <w:t>提供三年服务费总价。</w:t>
      </w:r>
    </w:p>
    <w:p>
      <w:pPr>
        <w:spacing w:line="220" w:lineRule="atLeast"/>
        <w:rPr>
          <w:rFonts w:hint="eastAsia" w:ascii="宋体" w:hAnsi="宋体" w:eastAsia="宋体" w:cs="宋体"/>
          <w:color w:val="404040"/>
          <w:sz w:val="26"/>
          <w:szCs w:val="26"/>
        </w:rPr>
      </w:pPr>
      <w:r>
        <w:rPr>
          <w:rFonts w:hint="eastAsia" w:ascii="宋体" w:hAnsi="宋体" w:eastAsia="宋体" w:cs="宋体"/>
          <w:color w:val="404040"/>
          <w:sz w:val="26"/>
          <w:szCs w:val="26"/>
          <w:lang w:val="en-US" w:eastAsia="zh-CN"/>
        </w:rPr>
        <w:t>2</w:t>
      </w:r>
      <w:r>
        <w:rPr>
          <w:rFonts w:hint="eastAsia" w:ascii="宋体" w:hAnsi="宋体" w:eastAsia="宋体" w:cs="宋体"/>
          <w:color w:val="404040"/>
          <w:sz w:val="26"/>
          <w:szCs w:val="26"/>
          <w:lang w:eastAsia="zh-CN"/>
        </w:rPr>
        <w:t>）</w:t>
      </w:r>
      <w:r>
        <w:rPr>
          <w:rFonts w:hint="eastAsia" w:ascii="宋体" w:hAnsi="宋体" w:eastAsia="宋体" w:cs="宋体"/>
          <w:color w:val="404040"/>
          <w:sz w:val="26"/>
          <w:szCs w:val="26"/>
        </w:rPr>
        <w:t>如双方对招标内容产生歧义，最终解释权为采购方。</w:t>
      </w:r>
    </w:p>
    <w:p>
      <w:pPr>
        <w:spacing w:line="220" w:lineRule="atLeast"/>
        <w:rPr>
          <w:rFonts w:hint="eastAsia" w:ascii="宋体" w:hAnsi="宋体" w:eastAsia="宋体" w:cs="宋体"/>
          <w:color w:val="404040"/>
          <w:sz w:val="26"/>
          <w:szCs w:val="26"/>
        </w:rPr>
      </w:pPr>
      <w:r>
        <w:rPr>
          <w:rFonts w:hint="eastAsia" w:ascii="宋体" w:hAnsi="宋体" w:eastAsia="宋体" w:cs="宋体"/>
          <w:color w:val="404040"/>
          <w:sz w:val="26"/>
          <w:szCs w:val="26"/>
          <w:lang w:val="en-US" w:eastAsia="zh-CN"/>
        </w:rPr>
        <w:t>3</w:t>
      </w:r>
      <w:r>
        <w:rPr>
          <w:rFonts w:hint="eastAsia" w:ascii="宋体" w:hAnsi="宋体" w:eastAsia="宋体" w:cs="宋体"/>
          <w:color w:val="404040"/>
          <w:sz w:val="26"/>
          <w:szCs w:val="26"/>
        </w:rPr>
        <w:t>）本项目</w:t>
      </w:r>
      <w:r>
        <w:rPr>
          <w:rFonts w:hint="eastAsia" w:ascii="宋体" w:hAnsi="宋体" w:eastAsia="宋体" w:cs="宋体"/>
          <w:color w:val="404040"/>
          <w:sz w:val="26"/>
          <w:szCs w:val="26"/>
          <w:lang w:eastAsia="zh-CN"/>
        </w:rPr>
        <w:t>服务</w:t>
      </w:r>
      <w:r>
        <w:rPr>
          <w:rFonts w:hint="eastAsia" w:ascii="宋体" w:hAnsi="宋体" w:eastAsia="宋体" w:cs="宋体"/>
          <w:color w:val="404040"/>
          <w:sz w:val="26"/>
          <w:szCs w:val="26"/>
        </w:rPr>
        <w:t>期为3年。</w:t>
      </w:r>
    </w:p>
    <w:p>
      <w:pPr>
        <w:pStyle w:val="13"/>
        <w:spacing w:line="360" w:lineRule="auto"/>
        <w:rPr>
          <w:rFonts w:hint="eastAsia" w:ascii="宋体" w:hAnsi="宋体" w:eastAsia="宋体" w:cs="宋体"/>
          <w:color w:val="00B050"/>
          <w:sz w:val="30"/>
          <w:szCs w:val="30"/>
        </w:rPr>
      </w:pPr>
      <w:r>
        <w:rPr>
          <w:rFonts w:hint="eastAsia" w:ascii="宋体" w:hAnsi="宋体" w:eastAsia="宋体" w:cs="宋体"/>
          <w:color w:val="404040"/>
          <w:sz w:val="26"/>
          <w:szCs w:val="26"/>
          <w:lang w:val="en-US" w:eastAsia="zh-CN"/>
        </w:rPr>
        <w:t>4</w:t>
      </w:r>
      <w:r>
        <w:rPr>
          <w:rFonts w:hint="eastAsia" w:ascii="宋体" w:hAnsi="宋体" w:eastAsia="宋体" w:cs="宋体"/>
          <w:color w:val="404040"/>
          <w:sz w:val="26"/>
          <w:szCs w:val="26"/>
        </w:rPr>
        <w:t>）报价含设备、运输、试验、验收、保险、检测报告印刷等费用。</w:t>
      </w:r>
    </w:p>
    <w:p>
      <w:pPr>
        <w:adjustRightInd/>
        <w:snapToGrid/>
        <w:spacing w:after="0"/>
        <w:rPr>
          <w:rFonts w:hint="eastAsia" w:ascii="宋体" w:hAnsi="宋体" w:eastAsia="宋体" w:cs="宋体"/>
          <w:color w:val="404040"/>
          <w:sz w:val="26"/>
          <w:szCs w:val="26"/>
        </w:rPr>
      </w:pPr>
      <w:r>
        <w:rPr>
          <w:rFonts w:hint="eastAsia" w:ascii="宋体" w:hAnsi="宋体" w:eastAsia="宋体" w:cs="宋体"/>
          <w:color w:val="404040"/>
          <w:sz w:val="26"/>
          <w:szCs w:val="26"/>
        </w:rPr>
        <w:br w:type="page"/>
      </w:r>
    </w:p>
    <w:p>
      <w:pPr>
        <w:rPr>
          <w:rFonts w:hint="eastAsia"/>
          <w:b/>
          <w:sz w:val="32"/>
          <w:szCs w:val="32"/>
        </w:rPr>
      </w:pPr>
    </w:p>
    <w:p>
      <w:pPr>
        <w:rPr>
          <w:b/>
          <w:sz w:val="32"/>
          <w:szCs w:val="32"/>
        </w:rPr>
      </w:pPr>
      <w:r>
        <w:rPr>
          <w:rFonts w:hint="eastAsia"/>
          <w:b/>
          <w:sz w:val="32"/>
          <w:szCs w:val="32"/>
        </w:rPr>
        <w:t>附件:</w:t>
      </w:r>
    </w:p>
    <w:p>
      <w:pPr>
        <w:pStyle w:val="28"/>
        <w:outlineLvl w:val="2"/>
      </w:pPr>
      <w:r>
        <w:rPr>
          <w:b/>
          <w:sz w:val="28"/>
        </w:rPr>
        <w:t>一、技术要求</w:t>
      </w:r>
    </w:p>
    <w:p>
      <w:pPr>
        <w:pStyle w:val="29"/>
        <w:ind w:firstLine="0" w:firstLineChars="0"/>
        <w:rPr>
          <w:rFonts w:hint="eastAsia" w:ascii="宋体" w:hAnsi="宋体" w:cs="宋体"/>
          <w:b/>
          <w:bCs/>
          <w:sz w:val="24"/>
          <w:lang w:val="en-US" w:bidi="en-US"/>
        </w:rPr>
      </w:pPr>
      <w:r>
        <w:rPr>
          <w:rFonts w:hint="eastAsia" w:ascii="宋体" w:hAnsi="宋体" w:cs="宋体"/>
          <w:b/>
          <w:bCs/>
          <w:sz w:val="24"/>
          <w:lang w:val="en-US" w:bidi="en-US"/>
        </w:rPr>
        <w:t>（一）设备要求</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(评审项1)</w:t>
      </w:r>
      <w:r>
        <w:rPr>
          <w:rFonts w:hint="eastAsia" w:ascii="宋体" w:hAnsi="宋体" w:cs="宋体"/>
          <w:sz w:val="24"/>
          <w:lang w:val="en-US" w:eastAsia="zh-CN" w:bidi="en-US"/>
        </w:rPr>
        <w:t>1</w:t>
      </w:r>
      <w:r>
        <w:rPr>
          <w:rFonts w:hint="eastAsia" w:ascii="宋体" w:hAnsi="宋体" w:cs="宋体"/>
          <w:sz w:val="24"/>
          <w:lang w:val="en-US" w:bidi="en-US"/>
        </w:rPr>
        <w:t>、</w:t>
      </w:r>
      <w:r>
        <w:rPr>
          <w:rFonts w:hint="eastAsia" w:ascii="宋体" w:hAnsi="宋体" w:cs="宋体"/>
          <w:sz w:val="24"/>
          <w:lang w:bidi="en-US"/>
        </w:rPr>
        <w:t>具有直流高压发生器。</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(评审项2)</w:t>
      </w:r>
      <w:r>
        <w:rPr>
          <w:rFonts w:hint="eastAsia" w:ascii="宋体" w:hAnsi="宋体" w:cs="宋体"/>
          <w:b w:val="0"/>
          <w:bCs w:val="0"/>
          <w:sz w:val="24"/>
          <w:lang w:val="en-US" w:eastAsia="zh-CN" w:bidi="en-US"/>
        </w:rPr>
        <w:t>2</w:t>
      </w:r>
      <w:r>
        <w:rPr>
          <w:rFonts w:hint="eastAsia" w:ascii="宋体" w:hAnsi="宋体" w:cs="宋体"/>
          <w:sz w:val="24"/>
          <w:lang w:val="en-US" w:bidi="en-US"/>
        </w:rPr>
        <w:t>、</w:t>
      </w:r>
      <w:r>
        <w:rPr>
          <w:rFonts w:hint="eastAsia" w:ascii="宋体" w:hAnsi="宋体" w:cs="宋体"/>
          <w:sz w:val="24"/>
          <w:lang w:bidi="en-US"/>
        </w:rPr>
        <w:t>具有工频耐压试验装置。</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(评审项3)</w:t>
      </w:r>
      <w:r>
        <w:rPr>
          <w:rFonts w:hint="eastAsia" w:ascii="宋体" w:hAnsi="宋体" w:cs="宋体"/>
          <w:sz w:val="24"/>
          <w:lang w:val="en-US" w:eastAsia="zh-CN" w:bidi="en-US"/>
        </w:rPr>
        <w:t>3</w:t>
      </w:r>
      <w:r>
        <w:rPr>
          <w:rFonts w:hint="eastAsia" w:ascii="宋体" w:hAnsi="宋体" w:cs="宋体"/>
          <w:sz w:val="24"/>
          <w:lang w:val="en-US" w:bidi="en-US"/>
        </w:rPr>
        <w:t>、</w:t>
      </w:r>
      <w:r>
        <w:rPr>
          <w:rFonts w:hint="eastAsia" w:ascii="宋体" w:hAnsi="宋体" w:cs="宋体"/>
          <w:sz w:val="24"/>
          <w:lang w:bidi="en-US"/>
        </w:rPr>
        <w:t>具有变频串联谐振试验成套装置。</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(评审项4)</w:t>
      </w:r>
      <w:r>
        <w:rPr>
          <w:rFonts w:hint="eastAsia" w:ascii="宋体" w:hAnsi="宋体" w:cs="宋体"/>
          <w:b w:val="0"/>
          <w:bCs w:val="0"/>
          <w:sz w:val="24"/>
          <w:lang w:val="en-US" w:eastAsia="zh-CN" w:bidi="en-US"/>
        </w:rPr>
        <w:t>4</w:t>
      </w:r>
      <w:r>
        <w:rPr>
          <w:rFonts w:hint="eastAsia" w:ascii="宋体" w:hAnsi="宋体" w:cs="宋体"/>
          <w:sz w:val="24"/>
          <w:lang w:val="en-US" w:bidi="en-US"/>
        </w:rPr>
        <w:t>、</w:t>
      </w:r>
      <w:r>
        <w:rPr>
          <w:rFonts w:hint="eastAsia" w:ascii="宋体" w:hAnsi="宋体" w:cs="宋体"/>
          <w:sz w:val="24"/>
          <w:lang w:bidi="en-US"/>
        </w:rPr>
        <w:t>具有感应耐压试验装置。</w:t>
      </w:r>
    </w:p>
    <w:p>
      <w:pPr>
        <w:pStyle w:val="29"/>
        <w:spacing w:line="360" w:lineRule="auto"/>
        <w:rPr>
          <w:rFonts w:hint="eastAsia" w:ascii="宋体" w:hAnsi="宋体" w:cs="宋体"/>
          <w:b/>
          <w:bCs/>
          <w:sz w:val="24"/>
          <w:lang w:val="en-US" w:eastAsia="zh-CN" w:bidi="en-US"/>
        </w:rPr>
      </w:pPr>
      <w:r>
        <w:rPr>
          <w:rFonts w:hint="eastAsia" w:ascii="宋体" w:hAnsi="宋体" w:cs="宋体"/>
          <w:b/>
          <w:bCs/>
          <w:sz w:val="24"/>
          <w:lang w:val="en-US" w:eastAsia="zh-CN" w:bidi="en-US"/>
        </w:rPr>
        <w:t>(评审项5)</w:t>
      </w:r>
      <w:r>
        <w:rPr>
          <w:rFonts w:hint="eastAsia" w:ascii="宋体" w:hAnsi="宋体" w:cs="宋体"/>
          <w:b w:val="0"/>
          <w:bCs w:val="0"/>
          <w:sz w:val="24"/>
          <w:lang w:val="en-US" w:eastAsia="zh-CN" w:bidi="en-US"/>
        </w:rPr>
        <w:t>5</w:t>
      </w:r>
      <w:r>
        <w:rPr>
          <w:rFonts w:hint="eastAsia" w:ascii="宋体" w:hAnsi="宋体" w:cs="宋体"/>
          <w:sz w:val="24"/>
          <w:lang w:val="en-US" w:bidi="en-US"/>
        </w:rPr>
        <w:t>、</w:t>
      </w:r>
      <w:r>
        <w:rPr>
          <w:rFonts w:hint="eastAsia" w:ascii="宋体" w:hAnsi="宋体" w:cs="宋体"/>
          <w:sz w:val="24"/>
          <w:lang w:bidi="en-US"/>
        </w:rPr>
        <w:t>具有高压介质损耗测试装置。</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(评审项6)</w:t>
      </w:r>
      <w:r>
        <w:rPr>
          <w:rFonts w:hint="eastAsia" w:ascii="宋体" w:hAnsi="宋体" w:cs="宋体"/>
          <w:sz w:val="24"/>
          <w:lang w:val="en-US" w:eastAsia="zh-CN" w:bidi="en-US"/>
        </w:rPr>
        <w:t>6</w:t>
      </w:r>
      <w:r>
        <w:rPr>
          <w:rFonts w:hint="eastAsia" w:ascii="宋体" w:hAnsi="宋体" w:cs="宋体"/>
          <w:sz w:val="24"/>
          <w:lang w:val="en-US" w:bidi="en-US"/>
        </w:rPr>
        <w:t>、</w:t>
      </w:r>
      <w:r>
        <w:rPr>
          <w:rFonts w:hint="eastAsia" w:ascii="宋体" w:hAnsi="宋体" w:cs="宋体"/>
          <w:sz w:val="24"/>
          <w:lang w:bidi="en-US"/>
        </w:rPr>
        <w:t>具有回路电阻测试仪。</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(评审项7)</w:t>
      </w:r>
      <w:r>
        <w:rPr>
          <w:rFonts w:hint="eastAsia" w:ascii="宋体" w:hAnsi="宋体" w:cs="宋体"/>
          <w:sz w:val="24"/>
          <w:lang w:val="en-US" w:eastAsia="zh-CN" w:bidi="en-US"/>
        </w:rPr>
        <w:t>7</w:t>
      </w:r>
      <w:r>
        <w:rPr>
          <w:rFonts w:hint="eastAsia" w:ascii="宋体" w:hAnsi="宋体" w:cs="宋体"/>
          <w:sz w:val="24"/>
          <w:lang w:val="en-US" w:bidi="en-US"/>
        </w:rPr>
        <w:t>、</w:t>
      </w:r>
      <w:r>
        <w:rPr>
          <w:rFonts w:hint="eastAsia" w:ascii="宋体" w:hAnsi="宋体" w:cs="宋体"/>
          <w:sz w:val="24"/>
          <w:lang w:bidi="en-US"/>
        </w:rPr>
        <w:t>具有互感器伏安特性测试仪。</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(评审项8)</w:t>
      </w:r>
      <w:r>
        <w:rPr>
          <w:rFonts w:hint="eastAsia" w:ascii="宋体" w:hAnsi="宋体" w:cs="宋体"/>
          <w:sz w:val="24"/>
          <w:lang w:val="en-US" w:eastAsia="zh-CN" w:bidi="en-US"/>
        </w:rPr>
        <w:t>8</w:t>
      </w:r>
      <w:r>
        <w:rPr>
          <w:rFonts w:hint="eastAsia" w:ascii="宋体" w:hAnsi="宋体" w:cs="宋体"/>
          <w:sz w:val="24"/>
          <w:lang w:val="en-US" w:bidi="en-US"/>
        </w:rPr>
        <w:t>、</w:t>
      </w:r>
      <w:r>
        <w:rPr>
          <w:rFonts w:hint="eastAsia" w:ascii="宋体" w:hAnsi="宋体" w:cs="宋体"/>
          <w:sz w:val="24"/>
          <w:lang w:bidi="en-US"/>
        </w:rPr>
        <w:t>具有变压器变比测试仪。</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(评审项9)</w:t>
      </w:r>
      <w:r>
        <w:rPr>
          <w:rFonts w:hint="eastAsia" w:ascii="宋体" w:hAnsi="宋体" w:cs="宋体"/>
          <w:sz w:val="24"/>
          <w:lang w:val="en-US" w:eastAsia="zh-CN" w:bidi="en-US"/>
        </w:rPr>
        <w:t>9</w:t>
      </w:r>
      <w:r>
        <w:rPr>
          <w:rFonts w:hint="eastAsia" w:ascii="宋体" w:hAnsi="宋体" w:cs="宋体"/>
          <w:sz w:val="24"/>
          <w:lang w:val="en-US" w:bidi="en-US"/>
        </w:rPr>
        <w:t>、</w:t>
      </w:r>
      <w:r>
        <w:rPr>
          <w:rFonts w:hint="eastAsia" w:ascii="宋体" w:hAnsi="宋体" w:cs="宋体"/>
          <w:sz w:val="24"/>
          <w:lang w:bidi="en-US"/>
        </w:rPr>
        <w:t>具有断路器特性测试仪。</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(评审项10)</w:t>
      </w:r>
      <w:r>
        <w:rPr>
          <w:rFonts w:hint="eastAsia" w:ascii="宋体" w:hAnsi="宋体" w:cs="宋体"/>
          <w:sz w:val="24"/>
          <w:lang w:val="en-US" w:bidi="en-US"/>
        </w:rPr>
        <w:t>1</w:t>
      </w:r>
      <w:r>
        <w:rPr>
          <w:rFonts w:hint="eastAsia" w:ascii="宋体" w:hAnsi="宋体" w:cs="宋体"/>
          <w:sz w:val="24"/>
          <w:lang w:val="en-US" w:eastAsia="zh-CN" w:bidi="en-US"/>
        </w:rPr>
        <w:t>0</w:t>
      </w:r>
      <w:r>
        <w:rPr>
          <w:rFonts w:hint="eastAsia" w:ascii="宋体" w:hAnsi="宋体" w:cs="宋体"/>
          <w:sz w:val="24"/>
          <w:lang w:val="en-US" w:bidi="en-US"/>
        </w:rPr>
        <w:t>、</w:t>
      </w:r>
      <w:r>
        <w:rPr>
          <w:rFonts w:hint="eastAsia" w:ascii="宋体" w:hAnsi="宋体" w:cs="宋体"/>
          <w:sz w:val="24"/>
          <w:lang w:bidi="en-US"/>
        </w:rPr>
        <w:t>具有绝缘电阻测试仪等。</w:t>
      </w:r>
    </w:p>
    <w:p>
      <w:pPr>
        <w:pStyle w:val="29"/>
        <w:spacing w:line="360" w:lineRule="auto"/>
        <w:rPr>
          <w:rFonts w:hint="eastAsia" w:ascii="宋体" w:hAnsi="宋体" w:cs="宋体"/>
          <w:b/>
          <w:bCs/>
          <w:sz w:val="24"/>
          <w:lang w:val="en-US" w:eastAsia="zh-CN" w:bidi="en-US"/>
        </w:rPr>
      </w:pPr>
      <w:r>
        <w:rPr>
          <w:rFonts w:hint="eastAsia" w:ascii="宋体" w:hAnsi="宋体" w:cs="宋体"/>
          <w:b/>
          <w:bCs/>
          <w:sz w:val="24"/>
          <w:lang w:val="en-US" w:eastAsia="zh-CN" w:bidi="en-US"/>
        </w:rPr>
        <w:t>(评审项11)</w:t>
      </w:r>
      <w:r>
        <w:rPr>
          <w:rFonts w:hint="eastAsia" w:ascii="宋体" w:hAnsi="宋体" w:cs="宋体"/>
          <w:sz w:val="24"/>
          <w:lang w:val="en-US" w:bidi="en-US"/>
        </w:rPr>
        <w:t>1</w:t>
      </w:r>
      <w:r>
        <w:rPr>
          <w:rFonts w:hint="eastAsia" w:ascii="宋体" w:hAnsi="宋体" w:cs="宋体"/>
          <w:sz w:val="24"/>
          <w:lang w:val="en-US" w:eastAsia="zh-CN" w:bidi="en-US"/>
        </w:rPr>
        <w:t>1</w:t>
      </w:r>
      <w:r>
        <w:rPr>
          <w:rFonts w:hint="eastAsia" w:ascii="宋体" w:hAnsi="宋体" w:cs="宋体"/>
          <w:sz w:val="24"/>
          <w:lang w:val="en-US" w:bidi="en-US"/>
        </w:rPr>
        <w:t>、</w:t>
      </w:r>
      <w:r>
        <w:rPr>
          <w:rFonts w:hint="eastAsia" w:ascii="宋体" w:hAnsi="宋体" w:cs="宋体"/>
          <w:sz w:val="24"/>
          <w:lang w:bidi="en-US"/>
        </w:rPr>
        <w:t>具有三相继电保护测试仪。</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(评审项12)</w:t>
      </w:r>
      <w:r>
        <w:rPr>
          <w:rFonts w:hint="eastAsia" w:ascii="宋体" w:hAnsi="宋体" w:cs="宋体"/>
          <w:sz w:val="24"/>
          <w:lang w:val="en-US" w:bidi="en-US"/>
        </w:rPr>
        <w:t>1</w:t>
      </w:r>
      <w:r>
        <w:rPr>
          <w:rFonts w:hint="eastAsia" w:ascii="宋体" w:hAnsi="宋体" w:cs="宋体"/>
          <w:sz w:val="24"/>
          <w:lang w:val="en-US" w:eastAsia="zh-CN" w:bidi="en-US"/>
        </w:rPr>
        <w:t>2</w:t>
      </w:r>
      <w:r>
        <w:rPr>
          <w:rFonts w:hint="eastAsia" w:ascii="宋体" w:hAnsi="宋体" w:cs="宋体"/>
          <w:sz w:val="24"/>
          <w:lang w:val="en-US" w:bidi="en-US"/>
        </w:rPr>
        <w:t>、</w:t>
      </w:r>
      <w:r>
        <w:rPr>
          <w:rFonts w:hint="eastAsia" w:ascii="宋体" w:hAnsi="宋体" w:cs="宋体"/>
          <w:sz w:val="24"/>
          <w:lang w:bidi="en-US"/>
        </w:rPr>
        <w:t>具有直流电阻测试仪。</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(评审项13)</w:t>
      </w:r>
      <w:r>
        <w:rPr>
          <w:rFonts w:hint="eastAsia" w:ascii="宋体" w:hAnsi="宋体" w:cs="宋体"/>
          <w:sz w:val="24"/>
          <w:lang w:val="en-US" w:bidi="en-US"/>
        </w:rPr>
        <w:t>1</w:t>
      </w:r>
      <w:r>
        <w:rPr>
          <w:rFonts w:hint="eastAsia" w:ascii="宋体" w:hAnsi="宋体" w:cs="宋体"/>
          <w:sz w:val="24"/>
          <w:lang w:val="en-US" w:eastAsia="zh-CN" w:bidi="en-US"/>
        </w:rPr>
        <w:t>3</w:t>
      </w:r>
      <w:r>
        <w:rPr>
          <w:rFonts w:hint="eastAsia" w:ascii="宋体" w:hAnsi="宋体" w:cs="宋体"/>
          <w:sz w:val="24"/>
          <w:lang w:val="en-US" w:bidi="en-US"/>
        </w:rPr>
        <w:t>、</w:t>
      </w:r>
      <w:r>
        <w:rPr>
          <w:rFonts w:hint="eastAsia" w:ascii="宋体" w:hAnsi="宋体" w:cs="宋体"/>
          <w:sz w:val="24"/>
          <w:lang w:bidi="en-US"/>
        </w:rPr>
        <w:t>具有接地电阻测试仪。</w:t>
      </w:r>
    </w:p>
    <w:p>
      <w:pPr>
        <w:pStyle w:val="29"/>
        <w:spacing w:line="360" w:lineRule="auto"/>
        <w:rPr>
          <w:rFonts w:hint="eastAsia" w:ascii="宋体" w:hAnsi="宋体" w:cs="宋体"/>
          <w:sz w:val="24"/>
          <w:lang w:bidi="en-US"/>
        </w:rPr>
      </w:pPr>
      <w:r>
        <w:rPr>
          <w:rFonts w:hint="eastAsia" w:ascii="宋体" w:hAnsi="宋体" w:cs="宋体"/>
          <w:b/>
          <w:bCs/>
          <w:sz w:val="24"/>
          <w:lang w:val="en-US" w:eastAsia="zh-CN" w:bidi="en-US"/>
        </w:rPr>
        <w:t>(评审项14)</w:t>
      </w:r>
      <w:r>
        <w:rPr>
          <w:rFonts w:hint="eastAsia" w:ascii="宋体" w:hAnsi="宋体" w:cs="宋体"/>
          <w:sz w:val="24"/>
          <w:lang w:val="en-US" w:bidi="en-US"/>
        </w:rPr>
        <w:t>1</w:t>
      </w:r>
      <w:r>
        <w:rPr>
          <w:rFonts w:hint="eastAsia" w:ascii="宋体" w:hAnsi="宋体" w:cs="宋体"/>
          <w:sz w:val="24"/>
          <w:lang w:val="en-US" w:eastAsia="zh-CN" w:bidi="en-US"/>
        </w:rPr>
        <w:t>4</w:t>
      </w:r>
      <w:r>
        <w:rPr>
          <w:rFonts w:hint="eastAsia" w:ascii="宋体" w:hAnsi="宋体" w:cs="宋体"/>
          <w:sz w:val="24"/>
          <w:lang w:val="en-US" w:bidi="en-US"/>
        </w:rPr>
        <w:t>、</w:t>
      </w:r>
      <w:r>
        <w:rPr>
          <w:rFonts w:hint="eastAsia" w:ascii="宋体" w:hAnsi="宋体" w:cs="宋体"/>
          <w:sz w:val="24"/>
          <w:lang w:val="en-US" w:eastAsia="zh-CN" w:bidi="en-US"/>
        </w:rPr>
        <w:t>具有1-13项的</w:t>
      </w:r>
      <w:r>
        <w:rPr>
          <w:rFonts w:hint="eastAsia" w:ascii="宋体" w:hAnsi="宋体" w:cs="宋体"/>
          <w:sz w:val="24"/>
          <w:lang w:bidi="en-US"/>
        </w:rPr>
        <w:t>工器具、施工设备</w:t>
      </w:r>
      <w:r>
        <w:rPr>
          <w:rFonts w:hint="eastAsia" w:ascii="宋体" w:hAnsi="宋体" w:cs="宋体"/>
          <w:sz w:val="24"/>
          <w:lang w:eastAsia="zh-CN" w:bidi="en-US"/>
        </w:rPr>
        <w:t>齐全两套或以上再得</w:t>
      </w:r>
      <w:r>
        <w:rPr>
          <w:rFonts w:hint="eastAsia" w:ascii="宋体" w:hAnsi="宋体" w:cs="宋体"/>
          <w:sz w:val="24"/>
          <w:lang w:val="en-US" w:eastAsia="zh-CN" w:bidi="en-US"/>
        </w:rPr>
        <w:t>1分。</w:t>
      </w:r>
      <w:r>
        <w:rPr>
          <w:rFonts w:hint="eastAsia" w:ascii="宋体" w:hAnsi="宋体" w:cs="宋体"/>
          <w:b/>
          <w:bCs/>
          <w:sz w:val="24"/>
          <w:lang w:bidi="en-US"/>
        </w:rPr>
        <w:t>（投标人仅提供一套（一）设备要求中</w:t>
      </w:r>
      <w:r>
        <w:rPr>
          <w:rFonts w:hint="eastAsia" w:ascii="宋体" w:hAnsi="宋体" w:cs="宋体"/>
          <w:b/>
          <w:bCs/>
          <w:sz w:val="24"/>
          <w:lang w:val="en-US" w:bidi="en-US"/>
        </w:rPr>
        <w:t>1-13项</w:t>
      </w:r>
      <w:r>
        <w:rPr>
          <w:rFonts w:hint="eastAsia" w:ascii="宋体" w:hAnsi="宋体" w:cs="宋体"/>
          <w:b/>
          <w:bCs/>
          <w:sz w:val="24"/>
          <w:lang w:bidi="en-US"/>
        </w:rPr>
        <w:t>试验仪器的不得分，再增加一套相同的试验仪器得</w:t>
      </w:r>
      <w:r>
        <w:rPr>
          <w:rFonts w:hint="eastAsia" w:ascii="宋体" w:hAnsi="宋体" w:cs="宋体"/>
          <w:b/>
          <w:bCs/>
          <w:sz w:val="24"/>
          <w:lang w:val="en-US" w:bidi="en-US"/>
        </w:rPr>
        <w:t>1</w:t>
      </w:r>
      <w:r>
        <w:rPr>
          <w:rFonts w:hint="eastAsia" w:ascii="宋体" w:hAnsi="宋体" w:cs="宋体"/>
          <w:b/>
          <w:bCs/>
          <w:sz w:val="24"/>
          <w:lang w:bidi="en-US"/>
        </w:rPr>
        <w:t>分</w:t>
      </w:r>
      <w:r>
        <w:rPr>
          <w:rFonts w:hint="eastAsia" w:ascii="宋体" w:hAnsi="宋体" w:cs="宋体"/>
          <w:b/>
          <w:bCs/>
          <w:sz w:val="24"/>
          <w:lang w:val="en-US" w:bidi="en-US"/>
        </w:rPr>
        <w:t>)</w:t>
      </w:r>
      <w:r>
        <w:rPr>
          <w:rFonts w:hint="eastAsia" w:ascii="宋体" w:hAnsi="宋体" w:cs="宋体"/>
          <w:sz w:val="24"/>
          <w:lang w:bidi="en-US"/>
        </w:rPr>
        <w:t>。</w:t>
      </w:r>
    </w:p>
    <w:p>
      <w:pPr>
        <w:pStyle w:val="29"/>
        <w:spacing w:line="360" w:lineRule="auto"/>
        <w:ind w:firstLine="482"/>
        <w:rPr>
          <w:rFonts w:hint="eastAsia" w:ascii="宋体" w:hAnsi="宋体" w:cs="宋体"/>
          <w:sz w:val="24"/>
          <w:lang w:val="en-US"/>
        </w:rPr>
      </w:pPr>
      <w:r>
        <w:rPr>
          <w:rFonts w:hint="eastAsia" w:ascii="宋体" w:hAnsi="宋体" w:cs="宋体"/>
          <w:b/>
          <w:bCs/>
          <w:sz w:val="24"/>
          <w:lang w:bidi="en-US"/>
        </w:rPr>
        <w:t>备注：以上进场试验测试仪器需具有合格的年检证明（原件备查），且须附投标人购买证明复印件，每项</w:t>
      </w:r>
      <w:r>
        <w:rPr>
          <w:rFonts w:hint="eastAsia" w:ascii="宋体" w:hAnsi="宋体" w:cs="宋体"/>
          <w:b/>
          <w:bCs/>
          <w:sz w:val="24"/>
          <w:lang w:val="en-US" w:bidi="en-US"/>
        </w:rPr>
        <w:t>1分，</w:t>
      </w:r>
      <w:r>
        <w:rPr>
          <w:rFonts w:hint="eastAsia" w:ascii="宋体" w:hAnsi="宋体" w:cs="宋体"/>
          <w:b/>
          <w:bCs/>
          <w:sz w:val="24"/>
          <w:lang w:bidi="en-US"/>
        </w:rPr>
        <w:t>未提供的不得分。</w:t>
      </w:r>
      <w:r>
        <w:rPr>
          <w:rFonts w:hint="eastAsia" w:ascii="宋体" w:hAnsi="宋体" w:cs="宋体"/>
          <w:sz w:val="24"/>
          <w:lang w:val="en-US"/>
        </w:rPr>
        <w:t>可参照</w:t>
      </w:r>
      <w:r>
        <w:rPr>
          <w:rFonts w:hint="eastAsia" w:ascii="宋体" w:hAnsi="宋体" w:cs="宋体"/>
          <w:b/>
          <w:bCs/>
          <w:sz w:val="24"/>
          <w:lang w:val="en-US"/>
        </w:rPr>
        <w:t>附件</w:t>
      </w:r>
      <w:r>
        <w:rPr>
          <w:rFonts w:hint="eastAsia" w:ascii="宋体" w:hAnsi="宋体" w:cs="宋体"/>
          <w:b/>
          <w:bCs/>
          <w:sz w:val="24"/>
          <w:lang w:val="en-US" w:eastAsia="zh-CN"/>
        </w:rPr>
        <w:t>二</w:t>
      </w:r>
      <w:r>
        <w:rPr>
          <w:rFonts w:hint="eastAsia" w:ascii="宋体" w:hAnsi="宋体" w:cs="宋体"/>
          <w:sz w:val="24"/>
          <w:lang w:val="en-US"/>
        </w:rPr>
        <w:t>填写，主要机械设备和试验检测设备表。</w:t>
      </w:r>
    </w:p>
    <w:p>
      <w:pPr>
        <w:pStyle w:val="29"/>
        <w:ind w:firstLine="0" w:firstLineChars="0"/>
        <w:rPr>
          <w:rFonts w:hint="eastAsia" w:ascii="宋体" w:hAnsi="宋体" w:cs="宋体"/>
          <w:b/>
          <w:bCs/>
          <w:sz w:val="24"/>
          <w:lang w:val="en-US" w:bidi="en-US"/>
        </w:rPr>
      </w:pPr>
      <w:r>
        <w:rPr>
          <w:rFonts w:hint="eastAsia" w:ascii="宋体" w:hAnsi="宋体" w:cs="宋体"/>
          <w:b/>
          <w:bCs/>
          <w:sz w:val="24"/>
          <w:lang w:val="en-US" w:bidi="en-US"/>
        </w:rPr>
        <w:t>（二）施工要求</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val="en-US" w:eastAsia="zh-CN" w:bidi="en-US"/>
        </w:rPr>
        <w:t>(评审项15)</w:t>
      </w:r>
      <w:r>
        <w:rPr>
          <w:rFonts w:hint="eastAsia" w:ascii="宋体" w:hAnsi="宋体" w:eastAsia="宋体" w:cs="宋体"/>
          <w:sz w:val="24"/>
          <w:szCs w:val="24"/>
        </w:rPr>
        <w:t>1、成果提交不仅限于试验报告，还包括设备铭牌拍照、过程拍照、试验数据原始记录（现场完成）及试验过程视频等过程资料、试验报告规范完整，试验报告应提供电子版和纸质版。</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val="en-US" w:eastAsia="zh-CN" w:bidi="en-US"/>
        </w:rPr>
        <w:t>(评审项16)</w:t>
      </w:r>
      <w:r>
        <w:rPr>
          <w:rFonts w:hint="eastAsia" w:ascii="宋体" w:hAnsi="宋体" w:eastAsia="宋体" w:cs="宋体"/>
          <w:sz w:val="24"/>
          <w:szCs w:val="24"/>
        </w:rPr>
        <w:t>2、在高压预防性试验实施期间，肿瘤医院配电房内，安全工具中绝缘靴、绝缘手套有不合格的，由业主购新</w:t>
      </w:r>
      <w:r>
        <w:rPr>
          <w:rFonts w:hint="eastAsia" w:ascii="宋体" w:hAnsi="宋体" w:eastAsia="宋体" w:cs="宋体"/>
          <w:sz w:val="24"/>
          <w:szCs w:val="24"/>
          <w:lang w:eastAsia="zh-CN"/>
        </w:rPr>
        <w:t>中标方</w:t>
      </w:r>
      <w:r>
        <w:rPr>
          <w:rFonts w:hint="eastAsia" w:ascii="宋体" w:hAnsi="宋体" w:eastAsia="宋体" w:cs="宋体"/>
          <w:sz w:val="24"/>
          <w:szCs w:val="24"/>
        </w:rPr>
        <w:t>出具试验报告。</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val="en-US" w:eastAsia="zh-CN" w:bidi="en-US"/>
        </w:rPr>
        <w:t>(评审项17)</w:t>
      </w:r>
      <w:r>
        <w:rPr>
          <w:rFonts w:hint="eastAsia" w:ascii="宋体" w:hAnsi="宋体" w:eastAsia="宋体" w:cs="宋体"/>
          <w:sz w:val="24"/>
          <w:szCs w:val="24"/>
        </w:rPr>
        <w:t>3、质量要求：符合福建省机电工程技术规范标准和《DL∕T596-2021电力设备预防性试验规程》、《DL∕T 995-2016 继电保护和电网安全自动装置检验规程》、《DL∕T 976-2017 带电作业工具、装置和设备预防性试验规》，试验项目不可漏检、错检，漏检、错检。</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val="en-US" w:eastAsia="zh-CN" w:bidi="en-US"/>
        </w:rPr>
        <w:t>(评审项18)</w:t>
      </w:r>
      <w:r>
        <w:rPr>
          <w:rFonts w:hint="eastAsia" w:ascii="宋体" w:hAnsi="宋体" w:eastAsia="宋体" w:cs="宋体"/>
          <w:sz w:val="24"/>
          <w:szCs w:val="24"/>
        </w:rPr>
        <w:t>4、作业前停电，须由</w:t>
      </w:r>
      <w:r>
        <w:rPr>
          <w:rFonts w:hint="eastAsia" w:ascii="宋体" w:hAnsi="宋体" w:eastAsia="宋体" w:cs="宋体"/>
          <w:sz w:val="24"/>
          <w:szCs w:val="24"/>
          <w:lang w:eastAsia="zh-CN"/>
        </w:rPr>
        <w:t>中标方</w:t>
      </w:r>
      <w:r>
        <w:rPr>
          <w:rFonts w:hint="eastAsia" w:ascii="宋体" w:hAnsi="宋体" w:eastAsia="宋体" w:cs="宋体"/>
          <w:sz w:val="24"/>
          <w:szCs w:val="24"/>
        </w:rPr>
        <w:t>向肿瘤医院提出申请，申请通过后才能施工。</w:t>
      </w:r>
    </w:p>
    <w:p>
      <w:pPr>
        <w:spacing w:line="360" w:lineRule="auto"/>
        <w:ind w:firstLine="482" w:firstLineChars="200"/>
        <w:rPr>
          <w:rFonts w:hint="eastAsia" w:ascii="宋体" w:hAnsi="宋体" w:eastAsia="宋体" w:cs="宋体"/>
          <w:color w:val="auto"/>
          <w:sz w:val="24"/>
          <w:szCs w:val="24"/>
        </w:rPr>
      </w:pPr>
      <w:r>
        <w:rPr>
          <w:rFonts w:hint="eastAsia" w:ascii="宋体" w:hAnsi="宋体" w:cs="宋体"/>
          <w:b/>
          <w:bCs/>
          <w:color w:val="auto"/>
          <w:sz w:val="24"/>
          <w:lang w:val="en-US" w:eastAsia="zh-CN" w:bidi="en-US"/>
        </w:rPr>
        <w:t>(评审项19)</w:t>
      </w: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中标方</w:t>
      </w:r>
      <w:r>
        <w:rPr>
          <w:rFonts w:hint="eastAsia" w:ascii="宋体" w:hAnsi="宋体" w:eastAsia="宋体" w:cs="宋体"/>
          <w:color w:val="auto"/>
          <w:sz w:val="24"/>
          <w:szCs w:val="24"/>
        </w:rPr>
        <w:t>成交后禁止转包或分包其他队伍实施，若发现</w:t>
      </w:r>
      <w:r>
        <w:rPr>
          <w:rFonts w:hint="eastAsia" w:ascii="宋体" w:hAnsi="宋体" w:eastAsia="宋体" w:cs="宋体"/>
          <w:color w:val="auto"/>
          <w:sz w:val="24"/>
          <w:szCs w:val="24"/>
          <w:lang w:eastAsia="zh-CN"/>
        </w:rPr>
        <w:t>中标方</w:t>
      </w:r>
      <w:r>
        <w:rPr>
          <w:rFonts w:hint="eastAsia" w:ascii="宋体" w:hAnsi="宋体" w:eastAsia="宋体" w:cs="宋体"/>
          <w:color w:val="auto"/>
          <w:sz w:val="24"/>
          <w:szCs w:val="24"/>
        </w:rPr>
        <w:t>转包或分包的，招标人有权解除合同。</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val="en-US" w:eastAsia="zh-CN" w:bidi="en-US"/>
        </w:rPr>
        <w:t>(评审项20)</w:t>
      </w:r>
      <w:r>
        <w:rPr>
          <w:rFonts w:hint="eastAsia" w:ascii="宋体" w:hAnsi="宋体" w:eastAsia="宋体" w:cs="宋体"/>
          <w:sz w:val="24"/>
          <w:szCs w:val="24"/>
        </w:rPr>
        <w:t>6、</w:t>
      </w:r>
      <w:r>
        <w:rPr>
          <w:rFonts w:hint="eastAsia" w:ascii="宋体" w:hAnsi="宋体" w:eastAsia="宋体" w:cs="宋体"/>
          <w:sz w:val="24"/>
          <w:szCs w:val="24"/>
          <w:lang w:eastAsia="zh-CN"/>
        </w:rPr>
        <w:t>中标方</w:t>
      </w:r>
      <w:r>
        <w:rPr>
          <w:rFonts w:hint="eastAsia" w:ascii="宋体" w:hAnsi="宋体" w:eastAsia="宋体" w:cs="宋体"/>
          <w:sz w:val="24"/>
          <w:szCs w:val="24"/>
        </w:rPr>
        <w:t>提供的服务质量均必须符合国家、相关行业标准及询价文件技术指标要求，不符合相关标准及要求的，招标人有权要求</w:t>
      </w:r>
      <w:r>
        <w:rPr>
          <w:rFonts w:hint="eastAsia" w:ascii="宋体" w:hAnsi="宋体" w:eastAsia="宋体" w:cs="宋体"/>
          <w:sz w:val="24"/>
          <w:szCs w:val="24"/>
          <w:lang w:eastAsia="zh-CN"/>
        </w:rPr>
        <w:t>重新检测。</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val="en-US" w:eastAsia="zh-CN" w:bidi="en-US"/>
        </w:rPr>
        <w:t>(评审项21)</w:t>
      </w:r>
      <w:r>
        <w:rPr>
          <w:rFonts w:hint="eastAsia" w:ascii="宋体" w:hAnsi="宋体" w:eastAsia="宋体" w:cs="宋体"/>
          <w:sz w:val="24"/>
          <w:szCs w:val="24"/>
        </w:rPr>
        <w:t>7、</w:t>
      </w:r>
      <w:r>
        <w:rPr>
          <w:rFonts w:hint="eastAsia" w:ascii="宋体" w:hAnsi="宋体" w:eastAsia="宋体" w:cs="宋体"/>
          <w:sz w:val="24"/>
          <w:szCs w:val="24"/>
          <w:lang w:eastAsia="zh-CN"/>
        </w:rPr>
        <w:t>中标方</w:t>
      </w:r>
      <w:r>
        <w:rPr>
          <w:rFonts w:hint="eastAsia" w:ascii="宋体" w:hAnsi="宋体" w:eastAsia="宋体" w:cs="宋体"/>
          <w:sz w:val="24"/>
          <w:szCs w:val="24"/>
        </w:rPr>
        <w:t>在服务期内负责配电房内安全工器具的试验，试验次数根据电力规范要求执行，所产生的费用在投标报价中综合考虑不在单列。</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val="en-US" w:eastAsia="zh-CN" w:bidi="en-US"/>
        </w:rPr>
        <w:t>(评审项22)</w:t>
      </w:r>
      <w:r>
        <w:rPr>
          <w:rFonts w:hint="eastAsia" w:ascii="宋体" w:hAnsi="宋体" w:eastAsia="宋体" w:cs="宋体"/>
          <w:sz w:val="24"/>
          <w:szCs w:val="24"/>
        </w:rPr>
        <w:t>8、技术培训</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8.1</w:t>
      </w:r>
      <w:r>
        <w:rPr>
          <w:rFonts w:hint="eastAsia" w:ascii="宋体" w:hAnsi="宋体" w:eastAsia="宋体" w:cs="宋体"/>
          <w:sz w:val="24"/>
          <w:szCs w:val="24"/>
        </w:rPr>
        <w:t>项目实施前，</w:t>
      </w:r>
      <w:r>
        <w:rPr>
          <w:rFonts w:hint="eastAsia" w:ascii="宋体" w:hAnsi="宋体" w:eastAsia="宋体" w:cs="宋体"/>
          <w:sz w:val="24"/>
          <w:szCs w:val="24"/>
          <w:lang w:eastAsia="zh-CN"/>
        </w:rPr>
        <w:t>中标方</w:t>
      </w:r>
      <w:r>
        <w:rPr>
          <w:rFonts w:hint="eastAsia" w:ascii="宋体" w:hAnsi="宋体" w:eastAsia="宋体" w:cs="宋体"/>
          <w:sz w:val="24"/>
          <w:szCs w:val="24"/>
        </w:rPr>
        <w:t>对现场人员进行安全教育、安全交底和技术培训</w:t>
      </w:r>
      <w:r>
        <w:rPr>
          <w:rFonts w:hint="eastAsia" w:ascii="宋体" w:hAnsi="宋体" w:eastAsia="宋体" w:cs="宋体"/>
          <w:sz w:val="24"/>
          <w:szCs w:val="24"/>
          <w:lang w:eastAsia="zh-CN"/>
        </w:rPr>
        <w:t>。</w:t>
      </w:r>
    </w:p>
    <w:p>
      <w:pPr>
        <w:spacing w:line="360" w:lineRule="auto"/>
        <w:ind w:firstLine="480" w:firstLineChars="200"/>
        <w:rPr>
          <w:rFonts w:hint="eastAsia"/>
        </w:rPr>
      </w:pPr>
      <w:r>
        <w:rPr>
          <w:rFonts w:hint="eastAsia" w:ascii="宋体" w:hAnsi="宋体" w:eastAsia="宋体" w:cs="宋体"/>
          <w:sz w:val="24"/>
          <w:szCs w:val="24"/>
          <w:lang w:val="en-US" w:eastAsia="zh-CN"/>
        </w:rPr>
        <w:t>8.</w:t>
      </w:r>
      <w:r>
        <w:rPr>
          <w:rFonts w:hint="eastAsia" w:ascii="宋体" w:hAnsi="宋体" w:eastAsia="宋体" w:cs="宋体"/>
          <w:sz w:val="24"/>
          <w:szCs w:val="24"/>
        </w:rPr>
        <w:t>2</w:t>
      </w:r>
      <w:r>
        <w:rPr>
          <w:rFonts w:hint="eastAsia" w:ascii="宋体" w:hAnsi="宋体" w:eastAsia="宋体" w:cs="宋体"/>
          <w:sz w:val="24"/>
          <w:szCs w:val="24"/>
          <w:lang w:eastAsia="zh-CN"/>
        </w:rPr>
        <w:t>中标方</w:t>
      </w:r>
      <w:r>
        <w:rPr>
          <w:rFonts w:hint="eastAsia" w:ascii="宋体" w:hAnsi="宋体" w:eastAsia="宋体" w:cs="宋体"/>
          <w:sz w:val="24"/>
          <w:szCs w:val="24"/>
        </w:rPr>
        <w:t>负责对招标人</w:t>
      </w:r>
      <w:r>
        <w:rPr>
          <w:rFonts w:hint="eastAsia" w:ascii="宋体" w:hAnsi="宋体" w:eastAsia="宋体" w:cs="宋体"/>
          <w:sz w:val="24"/>
          <w:szCs w:val="24"/>
          <w:lang w:eastAsia="zh-CN"/>
        </w:rPr>
        <w:t>的</w:t>
      </w:r>
      <w:r>
        <w:rPr>
          <w:rFonts w:hint="eastAsia" w:ascii="宋体" w:hAnsi="宋体" w:eastAsia="宋体" w:cs="宋体"/>
          <w:sz w:val="24"/>
          <w:szCs w:val="24"/>
        </w:rPr>
        <w:t>技术人员、操作人员进行免费技术培训</w:t>
      </w:r>
      <w:r>
        <w:rPr>
          <w:rFonts w:hint="eastAsia" w:ascii="宋体" w:hAnsi="宋体" w:eastAsia="宋体" w:cs="宋体"/>
          <w:sz w:val="24"/>
          <w:szCs w:val="24"/>
          <w:lang w:eastAsia="zh-CN"/>
        </w:rPr>
        <w:t>，每年至少一次</w:t>
      </w:r>
      <w:r>
        <w:rPr>
          <w:rFonts w:hint="eastAsia" w:ascii="宋体" w:hAnsi="宋体" w:eastAsia="宋体" w:cs="宋体"/>
          <w:sz w:val="24"/>
          <w:szCs w:val="24"/>
        </w:rPr>
        <w:t>。培训内容包括设备操作及设备维修等，直至技术人员、操作人员能够熟练掌握为止。</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（三）其他要求</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val="en-US" w:eastAsia="zh-CN" w:bidi="en-US"/>
        </w:rPr>
        <w:t>(评审项23)</w:t>
      </w:r>
      <w:r>
        <w:rPr>
          <w:rFonts w:hint="eastAsia" w:ascii="宋体" w:hAnsi="宋体" w:eastAsia="宋体" w:cs="宋体"/>
          <w:sz w:val="24"/>
          <w:szCs w:val="24"/>
        </w:rPr>
        <w:t>1、</w:t>
      </w:r>
      <w:r>
        <w:rPr>
          <w:rFonts w:hint="eastAsia" w:ascii="宋体" w:hAnsi="宋体" w:eastAsia="宋体" w:cs="宋体"/>
          <w:sz w:val="24"/>
          <w:szCs w:val="24"/>
          <w:lang w:eastAsia="zh-CN"/>
        </w:rPr>
        <w:t>中标方</w:t>
      </w:r>
      <w:r>
        <w:rPr>
          <w:rFonts w:hint="eastAsia" w:ascii="宋体" w:hAnsi="宋体" w:eastAsia="宋体" w:cs="宋体"/>
          <w:sz w:val="24"/>
          <w:szCs w:val="24"/>
        </w:rPr>
        <w:t>为进场施工人员购买意外险（或其他相关保险）保单，保单金额100万元及以上，需提供专项承诺书。</w:t>
      </w:r>
    </w:p>
    <w:p>
      <w:pPr>
        <w:spacing w:line="360" w:lineRule="auto"/>
        <w:ind w:firstLine="482" w:firstLineChars="200"/>
        <w:rPr>
          <w:rFonts w:hint="eastAsia" w:ascii="宋体" w:hAnsi="宋体" w:eastAsia="宋体" w:cs="宋体"/>
          <w:color w:val="auto"/>
          <w:sz w:val="24"/>
          <w:szCs w:val="24"/>
        </w:rPr>
      </w:pPr>
      <w:r>
        <w:rPr>
          <w:rFonts w:hint="eastAsia" w:ascii="宋体" w:hAnsi="宋体" w:cs="宋体"/>
          <w:b/>
          <w:bCs/>
          <w:color w:val="auto"/>
          <w:sz w:val="24"/>
          <w:lang w:val="en-US" w:eastAsia="zh-CN" w:bidi="en-US"/>
        </w:rPr>
        <w:t>(评审项24)</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试验过程中</w:t>
      </w:r>
      <w:r>
        <w:rPr>
          <w:rFonts w:hint="eastAsia" w:ascii="宋体" w:hAnsi="宋体" w:eastAsia="宋体" w:cs="宋体"/>
          <w:color w:val="auto"/>
          <w:sz w:val="24"/>
          <w:szCs w:val="24"/>
        </w:rPr>
        <w:t>现场</w:t>
      </w:r>
      <w:r>
        <w:rPr>
          <w:rFonts w:hint="eastAsia" w:ascii="宋体" w:hAnsi="宋体" w:eastAsia="宋体" w:cs="宋体"/>
          <w:color w:val="auto"/>
          <w:sz w:val="24"/>
          <w:szCs w:val="24"/>
          <w:lang w:eastAsia="zh-CN"/>
        </w:rPr>
        <w:t>操作人员</w:t>
      </w:r>
      <w:r>
        <w:rPr>
          <w:rFonts w:hint="eastAsia" w:ascii="宋体" w:hAnsi="宋体" w:eastAsia="宋体" w:cs="宋体"/>
          <w:color w:val="auto"/>
          <w:sz w:val="24"/>
          <w:szCs w:val="24"/>
        </w:rPr>
        <w:t>必须</w:t>
      </w:r>
      <w:r>
        <w:rPr>
          <w:rFonts w:hint="eastAsia" w:ascii="宋体" w:hAnsi="宋体" w:eastAsia="宋体" w:cs="宋体"/>
          <w:color w:val="auto"/>
          <w:sz w:val="24"/>
          <w:szCs w:val="24"/>
          <w:lang w:eastAsia="zh-CN"/>
        </w:rPr>
        <w:t>持证上岗，</w:t>
      </w:r>
      <w:r>
        <w:rPr>
          <w:rFonts w:hint="eastAsia" w:ascii="宋体" w:hAnsi="宋体" w:eastAsia="宋体" w:cs="宋体"/>
          <w:color w:val="auto"/>
          <w:sz w:val="24"/>
          <w:szCs w:val="24"/>
        </w:rPr>
        <w:t>统一戴安全帽穿安全服，不得穿拖鞋，光脚、光膀子</w:t>
      </w:r>
      <w:r>
        <w:rPr>
          <w:rFonts w:hint="eastAsia" w:ascii="宋体" w:hAnsi="宋体" w:eastAsia="宋体" w:cs="宋体"/>
          <w:color w:val="auto"/>
          <w:sz w:val="24"/>
          <w:szCs w:val="24"/>
          <w:lang w:eastAsia="zh-CN"/>
        </w:rPr>
        <w:t>试验</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服务期间</w:t>
      </w:r>
      <w:r>
        <w:rPr>
          <w:rFonts w:hint="eastAsia" w:ascii="宋体" w:hAnsi="宋体" w:eastAsia="宋体" w:cs="宋体"/>
          <w:color w:val="auto"/>
          <w:sz w:val="24"/>
          <w:szCs w:val="24"/>
        </w:rPr>
        <w:t>管理人员必须统一着装、佩戴工作牌、戴好安全帽。</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val="en-US" w:eastAsia="zh-CN" w:bidi="en-US"/>
        </w:rPr>
        <w:t>(评审项25)</w:t>
      </w:r>
      <w:r>
        <w:rPr>
          <w:rFonts w:hint="eastAsia" w:ascii="宋体" w:hAnsi="宋体" w:eastAsia="宋体" w:cs="宋体"/>
          <w:sz w:val="24"/>
          <w:szCs w:val="24"/>
        </w:rPr>
        <w:t>3、需提供工程施工安全承诺书，格式详见</w:t>
      </w:r>
      <w:r>
        <w:rPr>
          <w:rFonts w:hint="eastAsia" w:ascii="宋体" w:hAnsi="宋体" w:eastAsia="宋体" w:cs="宋体"/>
          <w:b/>
          <w:bCs/>
          <w:sz w:val="24"/>
          <w:szCs w:val="24"/>
        </w:rPr>
        <w:t>附件</w:t>
      </w:r>
      <w:r>
        <w:rPr>
          <w:rFonts w:hint="eastAsia" w:ascii="宋体" w:hAnsi="宋体" w:eastAsia="宋体" w:cs="宋体"/>
          <w:b/>
          <w:bCs/>
          <w:sz w:val="24"/>
          <w:szCs w:val="24"/>
          <w:lang w:eastAsia="zh-CN"/>
        </w:rPr>
        <w:t>三</w:t>
      </w:r>
      <w:r>
        <w:rPr>
          <w:rFonts w:hint="eastAsia" w:ascii="宋体" w:hAnsi="宋体" w:eastAsia="宋体" w:cs="宋体"/>
          <w:sz w:val="24"/>
          <w:szCs w:val="24"/>
        </w:rPr>
        <w:t>。</w:t>
      </w:r>
    </w:p>
    <w:p>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val="en-US" w:eastAsia="zh-CN" w:bidi="en-US"/>
        </w:rPr>
        <w:t>(评审项26)</w:t>
      </w:r>
      <w:r>
        <w:rPr>
          <w:rFonts w:hint="eastAsia" w:ascii="宋体" w:hAnsi="宋体" w:eastAsia="宋体" w:cs="宋体"/>
          <w:sz w:val="24"/>
          <w:szCs w:val="24"/>
        </w:rPr>
        <w:t>4、因</w:t>
      </w:r>
      <w:bookmarkStart w:id="0" w:name="_Toc312678013"/>
      <w:bookmarkStart w:id="1" w:name="_Toc318581170"/>
      <w:bookmarkStart w:id="2" w:name="_Toc312677487"/>
      <w:r>
        <w:rPr>
          <w:rFonts w:hint="eastAsia" w:ascii="宋体" w:hAnsi="宋体" w:eastAsia="宋体" w:cs="宋体"/>
          <w:sz w:val="24"/>
          <w:szCs w:val="24"/>
          <w:lang w:eastAsia="zh-CN"/>
        </w:rPr>
        <w:t>中标方</w:t>
      </w:r>
      <w:r>
        <w:rPr>
          <w:rFonts w:hint="eastAsia" w:ascii="宋体" w:hAnsi="宋体" w:eastAsia="宋体" w:cs="宋体"/>
          <w:sz w:val="24"/>
          <w:szCs w:val="24"/>
        </w:rPr>
        <w:t>原因造成工期延误，逾期竣工违约金的计算方法为：每逾期一天竣工验收，</w:t>
      </w:r>
      <w:r>
        <w:rPr>
          <w:rFonts w:hint="eastAsia" w:ascii="宋体" w:hAnsi="宋体" w:eastAsia="宋体" w:cs="宋体"/>
          <w:sz w:val="24"/>
          <w:szCs w:val="24"/>
          <w:lang w:eastAsia="zh-CN"/>
        </w:rPr>
        <w:t>中标方向招标人交</w:t>
      </w:r>
      <w:r>
        <w:rPr>
          <w:rFonts w:hint="eastAsia" w:ascii="宋体" w:hAnsi="宋体" w:eastAsia="宋体" w:cs="宋体"/>
          <w:sz w:val="24"/>
          <w:szCs w:val="24"/>
          <w:lang w:val="en-US" w:eastAsia="zh-CN"/>
        </w:rPr>
        <w:t>1000元</w:t>
      </w:r>
      <w:r>
        <w:rPr>
          <w:rFonts w:hint="eastAsia" w:ascii="宋体" w:hAnsi="宋体" w:eastAsia="宋体" w:cs="宋体"/>
          <w:sz w:val="24"/>
          <w:szCs w:val="24"/>
        </w:rPr>
        <w:t>违约金；</w:t>
      </w:r>
      <w:bookmarkEnd w:id="0"/>
      <w:bookmarkEnd w:id="1"/>
      <w:bookmarkEnd w:id="2"/>
      <w:r>
        <w:rPr>
          <w:rFonts w:hint="eastAsia" w:ascii="宋体" w:hAnsi="宋体" w:eastAsia="宋体" w:cs="宋体"/>
          <w:sz w:val="24"/>
          <w:szCs w:val="24"/>
        </w:rPr>
        <w:t>因</w:t>
      </w:r>
      <w:r>
        <w:rPr>
          <w:rFonts w:hint="eastAsia" w:ascii="宋体" w:hAnsi="宋体" w:eastAsia="宋体" w:cs="宋体"/>
          <w:sz w:val="24"/>
          <w:szCs w:val="24"/>
          <w:lang w:eastAsia="zh-CN"/>
        </w:rPr>
        <w:t>中标方</w:t>
      </w:r>
      <w:r>
        <w:rPr>
          <w:rFonts w:hint="eastAsia" w:ascii="宋体" w:hAnsi="宋体" w:eastAsia="宋体" w:cs="宋体"/>
          <w:sz w:val="24"/>
          <w:szCs w:val="24"/>
        </w:rPr>
        <w:t>原因造成工期延误，逾</w:t>
      </w:r>
      <w:bookmarkStart w:id="3" w:name="_Toc318581171"/>
      <w:bookmarkStart w:id="4" w:name="_Toc312678014"/>
      <w:r>
        <w:rPr>
          <w:rFonts w:hint="eastAsia" w:ascii="宋体" w:hAnsi="宋体" w:eastAsia="宋体" w:cs="宋体"/>
          <w:sz w:val="24"/>
          <w:szCs w:val="24"/>
        </w:rPr>
        <w:t>期竣工违约金的上限</w:t>
      </w:r>
      <w:r>
        <w:rPr>
          <w:rFonts w:hint="eastAsia" w:ascii="宋体" w:hAnsi="宋体" w:eastAsia="宋体" w:cs="宋体"/>
          <w:sz w:val="24"/>
          <w:szCs w:val="24"/>
          <w:lang w:eastAsia="zh-CN"/>
        </w:rPr>
        <w:t>为</w:t>
      </w:r>
      <w:r>
        <w:rPr>
          <w:rFonts w:hint="eastAsia" w:ascii="宋体" w:hAnsi="宋体" w:eastAsia="宋体" w:cs="宋体"/>
          <w:sz w:val="24"/>
          <w:szCs w:val="24"/>
        </w:rPr>
        <w:t>合同价的5%。</w:t>
      </w:r>
      <w:bookmarkEnd w:id="3"/>
      <w:bookmarkEnd w:id="4"/>
    </w:p>
    <w:p>
      <w:pPr>
        <w:adjustRightInd/>
        <w:snapToGrid/>
        <w:spacing w:before="150" w:after="0" w:line="480" w:lineRule="atLeast"/>
        <w:ind w:firstLine="480"/>
        <w:jc w:val="both"/>
        <w:rPr>
          <w:rFonts w:hint="eastAsia" w:ascii="宋体" w:hAnsi="宋体" w:eastAsia="宋体" w:cs="宋体"/>
          <w:sz w:val="24"/>
          <w:szCs w:val="24"/>
          <w:lang w:eastAsia="zh-CN"/>
        </w:rPr>
      </w:pPr>
      <w:r>
        <w:rPr>
          <w:rFonts w:hint="eastAsia" w:ascii="宋体" w:hAnsi="宋体" w:cs="宋体"/>
          <w:b/>
          <w:bCs/>
          <w:sz w:val="24"/>
          <w:lang w:val="en-US" w:eastAsia="zh-CN" w:bidi="en-US"/>
        </w:rPr>
        <w:t>(评审项27)</w:t>
      </w:r>
      <w:r>
        <w:rPr>
          <w:rFonts w:hint="eastAsia" w:ascii="宋体" w:hAnsi="宋体" w:eastAsia="宋体" w:cs="宋体"/>
          <w:sz w:val="24"/>
          <w:szCs w:val="24"/>
        </w:rPr>
        <w:t>5、</w:t>
      </w:r>
      <w:r>
        <w:rPr>
          <w:rFonts w:hint="eastAsia" w:ascii="宋体" w:hAnsi="宋体" w:eastAsia="宋体" w:cs="宋体"/>
          <w:sz w:val="24"/>
          <w:szCs w:val="24"/>
          <w:lang w:eastAsia="zh-CN"/>
        </w:rPr>
        <w:t>本项目招标人不组织现场踏勘，投标人自行联系项目联系人踏勘现场，踏勘期间产生的费用，由投标人自行负责。由于未踏勘现场造成的报价不当，施工难度的估计不足等，其造成的一切后果由投标人承当。</w:t>
      </w:r>
    </w:p>
    <w:p>
      <w:pPr>
        <w:adjustRightInd/>
        <w:snapToGrid/>
        <w:spacing w:before="150" w:after="0" w:line="480" w:lineRule="atLeast"/>
        <w:ind w:firstLine="480"/>
        <w:jc w:val="both"/>
        <w:rPr>
          <w:rFonts w:hint="eastAsia" w:ascii="宋体" w:hAnsi="宋体" w:eastAsia="宋体" w:cs="宋体"/>
          <w:color w:val="404040"/>
          <w:sz w:val="26"/>
          <w:szCs w:val="26"/>
          <w:lang w:eastAsia="zh-CN"/>
        </w:rPr>
      </w:pPr>
      <w:r>
        <w:rPr>
          <w:rFonts w:hint="eastAsia" w:ascii="宋体" w:hAnsi="宋体" w:cs="宋体"/>
          <w:b/>
          <w:bCs/>
          <w:sz w:val="24"/>
          <w:lang w:val="en-US" w:eastAsia="zh-CN" w:bidi="en-US"/>
        </w:rPr>
        <w:t>(评审项28)6</w:t>
      </w:r>
      <w:r>
        <w:rPr>
          <w:rFonts w:hint="eastAsia" w:ascii="宋体" w:hAnsi="宋体" w:eastAsia="宋体" w:cs="宋体"/>
          <w:sz w:val="24"/>
          <w:szCs w:val="24"/>
        </w:rPr>
        <w:t>、</w:t>
      </w:r>
      <w:r>
        <w:rPr>
          <w:rFonts w:hint="eastAsia" w:ascii="宋体" w:hAnsi="宋体" w:eastAsia="宋体" w:cs="宋体"/>
          <w:sz w:val="24"/>
          <w:szCs w:val="24"/>
          <w:lang w:eastAsia="zh-CN"/>
        </w:rPr>
        <w:t>服务要求：由于医疗工作的特殊性,要求投标人承诺每次的年检需在</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小时内完成，并提供实施方案</w:t>
      </w:r>
      <w:r>
        <w:rPr>
          <w:rFonts w:hint="eastAsia" w:ascii="宋体" w:hAnsi="宋体" w:eastAsia="宋体" w:cs="宋体"/>
          <w:sz w:val="24"/>
          <w:szCs w:val="24"/>
          <w:lang w:val="en-US" w:eastAsia="zh-CN"/>
        </w:rPr>
        <w:t>,每年度年检的</w:t>
      </w:r>
      <w:r>
        <w:rPr>
          <w:rFonts w:hint="eastAsia" w:ascii="宋体" w:hAnsi="宋体" w:eastAsia="宋体" w:cs="宋体"/>
          <w:sz w:val="24"/>
          <w:szCs w:val="24"/>
          <w:lang w:eastAsia="zh-CN"/>
        </w:rPr>
        <w:t>具体启动时间由甲方通知后执行。需提供承诺函。</w:t>
      </w:r>
    </w:p>
    <w:p>
      <w:pPr>
        <w:spacing w:line="360" w:lineRule="auto"/>
        <w:ind w:left="240" w:leftChars="109" w:firstLine="240" w:firstLineChars="100"/>
        <w:jc w:val="both"/>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5"/>
        <w:rPr>
          <w:rFonts w:hint="eastAsia"/>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rPr>
          <w:rFonts w:hint="eastAsia" w:ascii="宋体" w:hAnsi="宋体" w:eastAsia="宋体" w:cs="宋体"/>
          <w:sz w:val="24"/>
          <w:szCs w:val="24"/>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pStyle w:val="29"/>
        <w:ind w:left="0" w:leftChars="0" w:firstLine="0" w:firstLineChars="0"/>
        <w:rPr>
          <w:rFonts w:hint="eastAsia" w:eastAsia="宋体"/>
          <w:lang w:eastAsia="zh-CN"/>
        </w:rPr>
      </w:pPr>
      <w:r>
        <w:rPr>
          <w:rFonts w:hint="eastAsia" w:ascii="宋体" w:hAnsi="宋体" w:eastAsia="宋体" w:cs="宋体"/>
          <w:b/>
          <w:sz w:val="28"/>
          <w:szCs w:val="28"/>
        </w:rPr>
        <w:t>附件</w:t>
      </w:r>
      <w:r>
        <w:rPr>
          <w:rFonts w:hint="eastAsia" w:ascii="宋体" w:hAnsi="宋体" w:eastAsia="宋体" w:cs="宋体"/>
          <w:b/>
          <w:sz w:val="28"/>
          <w:szCs w:val="28"/>
          <w:lang w:eastAsia="zh-CN"/>
        </w:rPr>
        <w:t>一：福建省肿瘤医院配电房年检服务项目表</w:t>
      </w:r>
    </w:p>
    <w:p>
      <w:pPr>
        <w:pStyle w:val="29"/>
      </w:pPr>
    </w:p>
    <w:tbl>
      <w:tblPr>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6"/>
        <w:gridCol w:w="1219"/>
        <w:gridCol w:w="3940"/>
        <w:gridCol w:w="635"/>
        <w:gridCol w:w="921"/>
        <w:gridCol w:w="1025"/>
        <w:gridCol w:w="939"/>
      </w:tblGrid>
      <w:tr>
        <w:trPr>
          <w:trHeight w:val="329" w:hRule="atLeast"/>
        </w:trPr>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序号</w:t>
            </w: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项目编码</w:t>
            </w:r>
          </w:p>
        </w:tc>
        <w:tc>
          <w:tcPr>
            <w:tcW w:w="39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项目名称</w:t>
            </w:r>
          </w:p>
        </w:tc>
        <w:tc>
          <w:tcPr>
            <w:tcW w:w="6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计量</w:t>
            </w:r>
            <w:r>
              <w:rPr>
                <w:rFonts w:hint="eastAsia" w:ascii="宋体" w:hAnsi="宋体" w:eastAsia="宋体" w:cs="宋体"/>
                <w:b/>
                <w:bCs/>
                <w:i w:val="0"/>
                <w:iCs w:val="0"/>
                <w:color w:val="000000"/>
                <w:kern w:val="0"/>
                <w:sz w:val="22"/>
                <w:szCs w:val="22"/>
                <w:u w:val="none"/>
                <w:lang w:val="en-US" w:eastAsia="zh-CN"/>
              </w:rPr>
              <w:br/>
            </w:r>
            <w:r>
              <w:rPr>
                <w:rFonts w:hint="eastAsia" w:ascii="宋体" w:hAnsi="宋体" w:eastAsia="宋体" w:cs="宋体"/>
                <w:b/>
                <w:bCs/>
                <w:i w:val="0"/>
                <w:iCs w:val="0"/>
                <w:color w:val="000000"/>
                <w:kern w:val="0"/>
                <w:sz w:val="22"/>
                <w:szCs w:val="22"/>
                <w:u w:val="none"/>
                <w:lang w:val="en-US" w:eastAsia="zh-CN"/>
              </w:rPr>
              <w:t>单位</w:t>
            </w:r>
          </w:p>
        </w:tc>
        <w:tc>
          <w:tcPr>
            <w:tcW w:w="9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工程量</w:t>
            </w:r>
          </w:p>
        </w:tc>
        <w:tc>
          <w:tcPr>
            <w:tcW w:w="19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金    额(元)</w:t>
            </w:r>
          </w:p>
        </w:tc>
      </w:tr>
      <w:tr>
        <w:trPr>
          <w:trHeight w:val="329" w:hRule="atLeast"/>
        </w:trPr>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39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6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综合单价</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合价</w:t>
            </w: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rPr>
              <w:t xml:space="preserve">1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1001</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原有配电房预防性试验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项</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1.1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30417022T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变压器耐压试验(容量630kV·A)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1.2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30417022T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变压器绝缘试验(容量630kV·A)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1.3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30417022T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变压器直流电阻试验(容量630kV·A)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1.4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30417022T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变压器耐压试验(容量800kV·A)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1.5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30417022T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变压器绝缘试验(容量800kV·A)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1.6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30417022T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变压器直流电阻试验(容量800kV·A)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1.7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30417023T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变压器耐压试验(容量1250kV·A)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1.8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30417023T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变压器绝缘试验(容量1250kV·A)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7"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1.9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30417023T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变压器直流电阻试验(容量1250kV·A)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1.10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30417030T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真空断路器耐压试验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13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1.11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30417030T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真空断路器真空度试验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13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1.12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30417192</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整套高压开关柜调试</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系统</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3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1.13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30417200T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电缆耐压试验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条</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10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1.14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30417200T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电缆绝缘试验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条</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10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1.15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30411307T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避雷器绝缘试验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组</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4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1.16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30411307T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避雷器泄露试验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组</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4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rPr>
              <w:t xml:space="preserve">2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1002</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新增配电房预防性试验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项</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2.1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30417023T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变压器耐压试验(容量1000kV·A)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4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2.2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30417023T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变压器绝缘试验(容量1000kV·A)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4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2.3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30417023T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变压器直流电阻试验(容量1000kV·A)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4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2.4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30417023T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变压器耐压试验(容量1250kV·A)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4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2.5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30417023T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变压器绝缘试验(容量1250kV·A)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4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7"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2.6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30417023T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变压器直流电阻试验(容量1250kV·A)</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4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2.7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30417030T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真空断路器耐压试验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25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2.8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30417030T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真空断路器真空度试验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25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2.9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30417192</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整套高压开关柜调试</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系统</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2.10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30417200T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电缆耐压试验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条</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10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2.11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30417200T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电缆绝缘试验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条</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10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2.12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30411307T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避雷器泄露试验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组</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23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 xml:space="preserve">2.13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30411307T</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避雷器绝缘试验</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组</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23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14" w:hRule="atLeast"/>
        </w:trPr>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rPr>
              <w:t xml:space="preserve">3 </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1003</w:t>
            </w:r>
          </w:p>
        </w:tc>
        <w:tc>
          <w:tcPr>
            <w:tcW w:w="39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配电房巡视，每季度1次</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项</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 </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9" w:hRule="atLeast"/>
        </w:trPr>
        <w:tc>
          <w:tcPr>
            <w:tcW w:w="867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每年度服务费</w:t>
            </w:r>
          </w:p>
        </w:tc>
        <w:tc>
          <w:tcPr>
            <w:tcW w:w="9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40" w:hRule="atLeast"/>
        </w:trPr>
        <w:tc>
          <w:tcPr>
            <w:tcW w:w="8676" w:type="dxa"/>
            <w:gridSpan w:val="6"/>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方正书宋_GBK" w:hAnsi="方正书宋_GBK" w:eastAsia="方正书宋_GBK" w:cs="方正书宋_GBK"/>
                <w:i w:val="0"/>
                <w:iCs w:val="0"/>
                <w:color w:val="000000"/>
                <w:sz w:val="22"/>
                <w:szCs w:val="22"/>
                <w:u w:val="none"/>
              </w:rPr>
            </w:pPr>
            <w:r>
              <w:rPr>
                <w:rFonts w:hint="default" w:ascii="方正书宋_GBK" w:hAnsi="方正书宋_GBK" w:eastAsia="方正书宋_GBK" w:cs="方正书宋_GBK"/>
                <w:i w:val="0"/>
                <w:iCs w:val="0"/>
                <w:color w:val="000000"/>
                <w:kern w:val="0"/>
                <w:sz w:val="22"/>
                <w:szCs w:val="22"/>
                <w:u w:val="none"/>
                <w:lang w:val="en-US" w:eastAsia="zh-CN"/>
              </w:rPr>
              <w:t>三年服务费</w:t>
            </w:r>
          </w:p>
        </w:tc>
        <w:tc>
          <w:tcPr>
            <w:tcW w:w="939" w:type="dxa"/>
            <w:tcBorders>
              <w:top w:val="single" w:color="000000" w:sz="4" w:space="0"/>
              <w:left w:val="single" w:color="000000" w:sz="4" w:space="0"/>
              <w:bottom w:val="single" w:color="000000" w:sz="4" w:space="0"/>
              <w:right w:val="single" w:color="000000" w:sz="4" w:space="0"/>
            </w:tcBorders>
            <w:vAlign w:val="top"/>
          </w:tcPr>
          <w:p>
            <w:pPr>
              <w:rPr>
                <w:rFonts w:hint="default" w:ascii="方正书宋_GBK" w:hAnsi="方正书宋_GBK" w:eastAsia="方正书宋_GBK" w:cs="方正书宋_GBK"/>
                <w:i w:val="0"/>
                <w:iCs w:val="0"/>
                <w:color w:val="000000"/>
                <w:sz w:val="22"/>
                <w:szCs w:val="22"/>
                <w:u w:val="none"/>
              </w:rPr>
            </w:pPr>
          </w:p>
        </w:tc>
      </w:tr>
    </w:tbl>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pStyle w:val="29"/>
        <w:ind w:firstLine="420"/>
      </w:pPr>
    </w:p>
    <w:p>
      <w:pPr>
        <w:rPr>
          <w:rFonts w:hint="eastAsia" w:ascii="宋体" w:hAnsi="宋体" w:eastAsia="宋体" w:cs="宋体"/>
          <w:b/>
          <w:sz w:val="28"/>
          <w:szCs w:val="28"/>
        </w:rPr>
      </w:pPr>
      <w:r>
        <w:rPr>
          <w:rFonts w:hint="eastAsia" w:ascii="宋体" w:hAnsi="宋体" w:eastAsia="宋体" w:cs="宋体"/>
          <w:b/>
          <w:sz w:val="28"/>
          <w:szCs w:val="28"/>
        </w:rPr>
        <w:br w:type="page"/>
      </w:r>
    </w:p>
    <w:p>
      <w:pPr>
        <w:pStyle w:val="20"/>
        <w:rPr>
          <w:rFonts w:hint="eastAsia" w:ascii="宋体" w:hAnsi="宋体" w:eastAsia="宋体" w:cs="宋体"/>
          <w:b/>
          <w:sz w:val="28"/>
          <w:szCs w:val="28"/>
        </w:rPr>
      </w:pPr>
      <w:r>
        <w:rPr>
          <w:rFonts w:hint="eastAsia" w:ascii="宋体" w:hAnsi="宋体" w:eastAsia="宋体" w:cs="宋体"/>
          <w:b/>
          <w:sz w:val="28"/>
          <w:szCs w:val="28"/>
        </w:rPr>
        <w:t>附件</w:t>
      </w:r>
      <w:r>
        <w:rPr>
          <w:rFonts w:hint="eastAsia" w:ascii="宋体" w:hAnsi="宋体" w:eastAsia="宋体" w:cs="宋体"/>
          <w:b/>
          <w:sz w:val="28"/>
          <w:szCs w:val="28"/>
          <w:lang w:eastAsia="zh-CN"/>
        </w:rPr>
        <w:t>二</w:t>
      </w:r>
      <w:r>
        <w:rPr>
          <w:rFonts w:hint="eastAsia" w:ascii="宋体" w:hAnsi="宋体" w:eastAsia="宋体" w:cs="宋体"/>
          <w:b/>
          <w:sz w:val="28"/>
          <w:szCs w:val="28"/>
        </w:rPr>
        <w:t>：主要机械设备和试验检测设备表</w:t>
      </w:r>
    </w:p>
    <w:tbl>
      <w:tblPr>
        <w:tblW w:w="977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85"/>
        <w:gridCol w:w="992"/>
        <w:gridCol w:w="2018"/>
        <w:gridCol w:w="2018"/>
        <w:gridCol w:w="1657"/>
      </w:tblGrid>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设备名称</w:t>
            </w:r>
          </w:p>
        </w:tc>
        <w:tc>
          <w:tcPr>
            <w:tcW w:w="992" w:type="dxa"/>
            <w:vAlign w:val="center"/>
          </w:tcPr>
          <w:p>
            <w:pPr>
              <w:spacing w:line="480" w:lineRule="auto"/>
              <w:jc w:val="center"/>
              <w:rPr>
                <w:rFonts w:hint="eastAsia" w:ascii="宋体" w:hAnsi="宋体"/>
                <w:sz w:val="21"/>
                <w:szCs w:val="21"/>
              </w:rPr>
            </w:pPr>
            <w:r>
              <w:rPr>
                <w:rFonts w:hint="eastAsia" w:ascii="宋体" w:hAnsi="宋体"/>
                <w:sz w:val="21"/>
                <w:szCs w:val="21"/>
              </w:rPr>
              <w:t>单位</w:t>
            </w:r>
          </w:p>
        </w:tc>
        <w:tc>
          <w:tcPr>
            <w:tcW w:w="2018" w:type="dxa"/>
            <w:vAlign w:val="center"/>
          </w:tcPr>
          <w:p>
            <w:pPr>
              <w:spacing w:line="480" w:lineRule="auto"/>
              <w:jc w:val="center"/>
              <w:rPr>
                <w:rFonts w:ascii="宋体" w:hAnsi="宋体" w:eastAsia="宋体"/>
                <w:sz w:val="21"/>
                <w:szCs w:val="21"/>
              </w:rPr>
            </w:pPr>
            <w:r>
              <w:rPr>
                <w:rFonts w:hint="eastAsia" w:ascii="宋体" w:hAnsi="宋体"/>
                <w:sz w:val="21"/>
                <w:szCs w:val="21"/>
              </w:rPr>
              <w:t>证书编号1</w:t>
            </w:r>
          </w:p>
        </w:tc>
        <w:tc>
          <w:tcPr>
            <w:tcW w:w="2018" w:type="dxa"/>
            <w:vAlign w:val="center"/>
          </w:tcPr>
          <w:p>
            <w:pPr>
              <w:spacing w:line="480" w:lineRule="auto"/>
              <w:jc w:val="center"/>
              <w:rPr>
                <w:rFonts w:hint="eastAsia" w:ascii="宋体" w:hAnsi="宋体"/>
                <w:sz w:val="21"/>
                <w:szCs w:val="21"/>
              </w:rPr>
            </w:pPr>
            <w:r>
              <w:rPr>
                <w:rFonts w:hint="eastAsia" w:ascii="宋体" w:hAnsi="宋体"/>
                <w:sz w:val="21"/>
                <w:szCs w:val="21"/>
              </w:rPr>
              <w:t>证书编号2</w:t>
            </w:r>
          </w:p>
        </w:tc>
        <w:tc>
          <w:tcPr>
            <w:tcW w:w="1657" w:type="dxa"/>
            <w:vAlign w:val="center"/>
          </w:tcPr>
          <w:p>
            <w:pPr>
              <w:spacing w:line="480" w:lineRule="auto"/>
              <w:jc w:val="center"/>
              <w:rPr>
                <w:rFonts w:hint="eastAsia" w:ascii="宋体" w:hAnsi="宋体"/>
                <w:sz w:val="21"/>
                <w:szCs w:val="21"/>
              </w:rPr>
            </w:pPr>
            <w:r>
              <w:rPr>
                <w:rFonts w:hint="eastAsia" w:ascii="宋体" w:hAnsi="宋体"/>
                <w:sz w:val="21"/>
                <w:szCs w:val="21"/>
              </w:rPr>
              <w:t>证明文件页码</w:t>
            </w: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直流高压发生器</w:t>
            </w:r>
          </w:p>
        </w:tc>
        <w:tc>
          <w:tcPr>
            <w:tcW w:w="992" w:type="dxa"/>
            <w:vAlign w:val="center"/>
          </w:tcPr>
          <w:p>
            <w:pPr>
              <w:spacing w:line="480" w:lineRule="auto"/>
              <w:jc w:val="center"/>
              <w:rPr>
                <w:rFonts w:hint="eastAsia"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工频耐压试验装置</w:t>
            </w:r>
          </w:p>
        </w:tc>
        <w:tc>
          <w:tcPr>
            <w:tcW w:w="992" w:type="dxa"/>
            <w:vAlign w:val="center"/>
          </w:tcPr>
          <w:p>
            <w:pPr>
              <w:spacing w:line="480" w:lineRule="auto"/>
              <w:jc w:val="center"/>
              <w:rPr>
                <w:rFonts w:ascii="宋体" w:hAnsi="宋体"/>
                <w:sz w:val="21"/>
                <w:szCs w:val="21"/>
              </w:rPr>
            </w:pPr>
            <w:r>
              <w:rPr>
                <w:rFonts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变频串联谐振试验成套装置</w:t>
            </w:r>
          </w:p>
        </w:tc>
        <w:tc>
          <w:tcPr>
            <w:tcW w:w="992" w:type="dxa"/>
            <w:vAlign w:val="center"/>
          </w:tcPr>
          <w:p>
            <w:pPr>
              <w:spacing w:line="480" w:lineRule="auto"/>
              <w:jc w:val="center"/>
              <w:rPr>
                <w:rFonts w:ascii="宋体" w:hAnsi="宋体"/>
                <w:sz w:val="21"/>
                <w:szCs w:val="21"/>
              </w:rPr>
            </w:pPr>
            <w:r>
              <w:rPr>
                <w:rFonts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ascii="宋体" w:hAnsi="宋体"/>
                <w:sz w:val="21"/>
                <w:szCs w:val="21"/>
              </w:rPr>
            </w:pPr>
          </w:p>
        </w:tc>
        <w:tc>
          <w:tcPr>
            <w:tcW w:w="1657" w:type="dxa"/>
            <w:vAlign w:val="center"/>
          </w:tcPr>
          <w:p>
            <w:pPr>
              <w:spacing w:line="480" w:lineRule="auto"/>
              <w:jc w:val="center"/>
              <w:rPr>
                <w:rFonts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感应耐压试验装置</w:t>
            </w:r>
          </w:p>
        </w:tc>
        <w:tc>
          <w:tcPr>
            <w:tcW w:w="992" w:type="dxa"/>
            <w:vAlign w:val="center"/>
          </w:tcPr>
          <w:p>
            <w:pPr>
              <w:spacing w:line="480" w:lineRule="auto"/>
              <w:jc w:val="center"/>
              <w:rPr>
                <w:rFonts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高压介质损耗测试装置</w:t>
            </w:r>
          </w:p>
        </w:tc>
        <w:tc>
          <w:tcPr>
            <w:tcW w:w="992" w:type="dxa"/>
            <w:vAlign w:val="center"/>
          </w:tcPr>
          <w:p>
            <w:pPr>
              <w:spacing w:line="480" w:lineRule="auto"/>
              <w:jc w:val="center"/>
              <w:rPr>
                <w:rFonts w:hint="eastAsia"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三相继电保护测试仪</w:t>
            </w:r>
          </w:p>
        </w:tc>
        <w:tc>
          <w:tcPr>
            <w:tcW w:w="992" w:type="dxa"/>
            <w:vAlign w:val="center"/>
          </w:tcPr>
          <w:p>
            <w:pPr>
              <w:spacing w:line="480" w:lineRule="auto"/>
              <w:jc w:val="center"/>
              <w:rPr>
                <w:rFonts w:hint="eastAsia"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变压器直流电阻测试仪</w:t>
            </w:r>
          </w:p>
        </w:tc>
        <w:tc>
          <w:tcPr>
            <w:tcW w:w="992" w:type="dxa"/>
            <w:vAlign w:val="center"/>
          </w:tcPr>
          <w:p>
            <w:pPr>
              <w:spacing w:line="480" w:lineRule="auto"/>
              <w:jc w:val="center"/>
              <w:rPr>
                <w:rFonts w:hint="eastAsia"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回路电阻测试仪</w:t>
            </w:r>
          </w:p>
        </w:tc>
        <w:tc>
          <w:tcPr>
            <w:tcW w:w="992" w:type="dxa"/>
            <w:vAlign w:val="center"/>
          </w:tcPr>
          <w:p>
            <w:pPr>
              <w:spacing w:line="480" w:lineRule="auto"/>
              <w:jc w:val="center"/>
              <w:rPr>
                <w:rFonts w:hint="eastAsia"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互感器伏安特性测试仪</w:t>
            </w:r>
          </w:p>
        </w:tc>
        <w:tc>
          <w:tcPr>
            <w:tcW w:w="992" w:type="dxa"/>
            <w:vAlign w:val="center"/>
          </w:tcPr>
          <w:p>
            <w:pPr>
              <w:spacing w:line="480" w:lineRule="auto"/>
              <w:jc w:val="center"/>
              <w:rPr>
                <w:rFonts w:hint="eastAsia"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接地电阻测试仪</w:t>
            </w:r>
          </w:p>
        </w:tc>
        <w:tc>
          <w:tcPr>
            <w:tcW w:w="992" w:type="dxa"/>
            <w:vAlign w:val="center"/>
          </w:tcPr>
          <w:p>
            <w:pPr>
              <w:spacing w:line="480" w:lineRule="auto"/>
              <w:jc w:val="center"/>
              <w:rPr>
                <w:rFonts w:hint="eastAsia"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变压器变比测试仪</w:t>
            </w:r>
          </w:p>
        </w:tc>
        <w:tc>
          <w:tcPr>
            <w:tcW w:w="992" w:type="dxa"/>
            <w:vAlign w:val="center"/>
          </w:tcPr>
          <w:p>
            <w:pPr>
              <w:spacing w:line="480" w:lineRule="auto"/>
              <w:jc w:val="center"/>
              <w:rPr>
                <w:rFonts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断路器特性测试仪</w:t>
            </w:r>
          </w:p>
        </w:tc>
        <w:tc>
          <w:tcPr>
            <w:tcW w:w="992" w:type="dxa"/>
            <w:vAlign w:val="center"/>
          </w:tcPr>
          <w:p>
            <w:pPr>
              <w:spacing w:line="480" w:lineRule="auto"/>
              <w:jc w:val="center"/>
              <w:rPr>
                <w:rFonts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r>
        <w:trPr>
          <w:trHeight w:val="624" w:hRule="exact"/>
        </w:trPr>
        <w:tc>
          <w:tcPr>
            <w:tcW w:w="3085" w:type="dxa"/>
            <w:vAlign w:val="center"/>
          </w:tcPr>
          <w:p>
            <w:pPr>
              <w:spacing w:line="480" w:lineRule="auto"/>
              <w:jc w:val="center"/>
              <w:rPr>
                <w:rFonts w:hint="eastAsia" w:ascii="宋体" w:hAnsi="宋体"/>
                <w:sz w:val="21"/>
                <w:szCs w:val="21"/>
              </w:rPr>
            </w:pPr>
            <w:r>
              <w:rPr>
                <w:rFonts w:hint="eastAsia" w:ascii="宋体" w:hAnsi="宋体"/>
                <w:sz w:val="21"/>
                <w:szCs w:val="21"/>
              </w:rPr>
              <w:t>绝缘电阻测试仪</w:t>
            </w:r>
          </w:p>
        </w:tc>
        <w:tc>
          <w:tcPr>
            <w:tcW w:w="992" w:type="dxa"/>
            <w:vAlign w:val="center"/>
          </w:tcPr>
          <w:p>
            <w:pPr>
              <w:spacing w:line="480" w:lineRule="auto"/>
              <w:jc w:val="center"/>
              <w:rPr>
                <w:rFonts w:ascii="宋体" w:hAnsi="宋体"/>
                <w:sz w:val="21"/>
                <w:szCs w:val="21"/>
              </w:rPr>
            </w:pPr>
            <w:r>
              <w:rPr>
                <w:rFonts w:hint="eastAsia" w:ascii="宋体" w:hAnsi="宋体"/>
                <w:sz w:val="21"/>
                <w:szCs w:val="21"/>
              </w:rPr>
              <w:t>台</w:t>
            </w:r>
          </w:p>
        </w:tc>
        <w:tc>
          <w:tcPr>
            <w:tcW w:w="2018" w:type="dxa"/>
            <w:vAlign w:val="center"/>
          </w:tcPr>
          <w:p>
            <w:pPr>
              <w:spacing w:line="480" w:lineRule="auto"/>
              <w:jc w:val="center"/>
              <w:rPr>
                <w:rFonts w:hint="eastAsia" w:ascii="宋体" w:hAnsi="宋体"/>
                <w:sz w:val="21"/>
                <w:szCs w:val="21"/>
              </w:rPr>
            </w:pPr>
          </w:p>
        </w:tc>
        <w:tc>
          <w:tcPr>
            <w:tcW w:w="2018" w:type="dxa"/>
            <w:vAlign w:val="center"/>
          </w:tcPr>
          <w:p>
            <w:pPr>
              <w:spacing w:line="480" w:lineRule="auto"/>
              <w:jc w:val="center"/>
              <w:rPr>
                <w:rFonts w:hint="eastAsia" w:ascii="宋体" w:hAnsi="宋体"/>
                <w:sz w:val="21"/>
                <w:szCs w:val="21"/>
              </w:rPr>
            </w:pPr>
          </w:p>
        </w:tc>
        <w:tc>
          <w:tcPr>
            <w:tcW w:w="1657" w:type="dxa"/>
            <w:vAlign w:val="center"/>
          </w:tcPr>
          <w:p>
            <w:pPr>
              <w:spacing w:line="480" w:lineRule="auto"/>
              <w:jc w:val="center"/>
              <w:rPr>
                <w:rFonts w:hint="eastAsia" w:ascii="宋体" w:hAnsi="宋体"/>
                <w:sz w:val="21"/>
                <w:szCs w:val="21"/>
              </w:rPr>
            </w:pPr>
          </w:p>
        </w:tc>
      </w:tr>
    </w:tbl>
    <w:p>
      <w:pPr>
        <w:pStyle w:val="20"/>
        <w:rPr>
          <w:rFonts w:hint="eastAsia" w:ascii="宋体" w:hAnsi="宋体" w:eastAsia="宋体" w:cs="宋体"/>
          <w:b/>
          <w:sz w:val="21"/>
        </w:rPr>
      </w:pPr>
    </w:p>
    <w:p>
      <w:pPr>
        <w:pStyle w:val="20"/>
        <w:rPr>
          <w:rFonts w:hint="eastAsia" w:ascii="宋体" w:hAnsi="宋体" w:eastAsia="宋体" w:cs="宋体"/>
          <w:b/>
          <w:sz w:val="21"/>
        </w:rPr>
      </w:pPr>
    </w:p>
    <w:p>
      <w:pPr>
        <w:rPr>
          <w:rFonts w:hint="eastAsia" w:ascii="宋体" w:hAnsi="宋体" w:eastAsia="宋体" w:cs="宋体"/>
          <w:b/>
          <w:sz w:val="21"/>
        </w:rPr>
      </w:pPr>
    </w:p>
    <w:p>
      <w:pPr>
        <w:rPr>
          <w:rFonts w:hint="eastAsia" w:ascii="宋体" w:hAnsi="宋体" w:eastAsia="宋体" w:cs="宋体"/>
          <w:b/>
          <w:sz w:val="21"/>
        </w:rPr>
      </w:pPr>
    </w:p>
    <w:p>
      <w:pPr>
        <w:rPr>
          <w:rFonts w:hint="eastAsia" w:ascii="宋体" w:hAnsi="宋体" w:eastAsia="宋体" w:cs="宋体"/>
          <w:b/>
          <w:sz w:val="21"/>
        </w:rPr>
      </w:pPr>
    </w:p>
    <w:p>
      <w:pPr>
        <w:rPr>
          <w:rFonts w:hint="eastAsia" w:ascii="宋体" w:hAnsi="宋体" w:eastAsia="宋体" w:cs="宋体"/>
          <w:b/>
          <w:sz w:val="21"/>
        </w:rPr>
      </w:pPr>
    </w:p>
    <w:p>
      <w:pPr>
        <w:rPr>
          <w:rFonts w:hint="eastAsia" w:ascii="宋体" w:hAnsi="宋体" w:eastAsia="宋体" w:cs="宋体"/>
          <w:b/>
          <w:sz w:val="21"/>
        </w:rPr>
      </w:pPr>
    </w:p>
    <w:p>
      <w:pPr>
        <w:rPr>
          <w:rFonts w:hint="eastAsia" w:ascii="宋体" w:hAnsi="宋体" w:eastAsia="宋体" w:cs="宋体"/>
          <w:b/>
          <w:sz w:val="21"/>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pStyle w:val="20"/>
        <w:rPr>
          <w:sz w:val="28"/>
          <w:szCs w:val="28"/>
        </w:rPr>
      </w:pPr>
      <w:r>
        <w:rPr>
          <w:rFonts w:hint="eastAsia" w:ascii="宋体" w:hAnsi="宋体" w:eastAsia="宋体" w:cs="宋体"/>
          <w:b/>
          <w:sz w:val="28"/>
          <w:szCs w:val="28"/>
        </w:rPr>
        <w:t>附件</w:t>
      </w:r>
      <w:r>
        <w:rPr>
          <w:rFonts w:hint="eastAsia" w:ascii="宋体" w:hAnsi="宋体" w:eastAsia="宋体" w:cs="宋体"/>
          <w:b/>
          <w:sz w:val="28"/>
          <w:szCs w:val="28"/>
          <w:lang w:eastAsia="zh-CN"/>
        </w:rPr>
        <w:t>三</w:t>
      </w:r>
      <w:r>
        <w:rPr>
          <w:rFonts w:hint="eastAsia" w:ascii="宋体" w:hAnsi="宋体" w:eastAsia="宋体" w:cs="宋体"/>
          <w:b/>
          <w:sz w:val="28"/>
          <w:szCs w:val="28"/>
        </w:rPr>
        <w:t>：高压试验安全承诺书</w:t>
      </w:r>
    </w:p>
    <w:p>
      <w:pPr>
        <w:pStyle w:val="29"/>
        <w:widowControl w:val="0"/>
        <w:wordWrap/>
        <w:adjustRightInd/>
        <w:snapToGrid/>
        <w:spacing w:line="360" w:lineRule="auto"/>
        <w:ind w:left="0" w:leftChars="0" w:firstLine="0" w:firstLineChars="0"/>
        <w:jc w:val="center"/>
        <w:textAlignment w:val="auto"/>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高压试验安全承诺书</w:t>
      </w:r>
    </w:p>
    <w:p>
      <w:pPr>
        <w:pStyle w:val="29"/>
        <w:widowControl w:val="0"/>
        <w:wordWrap/>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福建省肿瘤医院：</w:t>
      </w:r>
    </w:p>
    <w:p>
      <w:pPr>
        <w:pStyle w:val="29"/>
        <w:widowControl w:val="0"/>
        <w:wordWrap/>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为确保在贵院配电房进行耐压试验期间的安全，防止因试验操作导致电气事故、设备损坏或影响医院正常供电，我单位（施工单位）特向贵院作出如下安全承诺：</w:t>
      </w:r>
    </w:p>
    <w:p>
      <w:pPr>
        <w:pStyle w:val="29"/>
        <w:widowControl w:val="0"/>
        <w:wordWrap/>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（1）在耐压试验期间，因我方操作不当或管理疏漏导致的一切安全事故（包括但不限于设备损坏、人员触电、供电中断等），均由我单位承担全部责任，并负责赔偿因此造成的直接和间接损失。</w:t>
      </w:r>
    </w:p>
    <w:p>
      <w:pPr>
        <w:pStyle w:val="29"/>
        <w:widowControl w:val="0"/>
        <w:wordWrap/>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（2）试验过程严格执行符合福建省机电工程技术规范标准和《DL∕T596-2021电力设备预防性试验规程》、《DL∕T 995-2016 继电保护和电网安全自动装置检验规程》、《DL∕T 976-2017 带电作业工具、装置和设备预防性试验规》及贵院配电房安全管理规定，确保试验安全可控。</w:t>
      </w:r>
    </w:p>
    <w:p>
      <w:pPr>
        <w:pStyle w:val="29"/>
        <w:widowControl w:val="0"/>
        <w:wordWrap/>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（3）指定试验安全监督员，全程负责试验安全监督，并与贵院总务科和保卫科等保持实时沟通，遇到突发情况立即启动应急预案，并第一时间报告贵院。</w:t>
      </w:r>
    </w:p>
    <w:p>
      <w:pPr>
        <w:pStyle w:val="29"/>
        <w:widowControl w:val="0"/>
        <w:wordWrap/>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（4）试验人员均持持证上岗，并提前向贵院报备相关资质。</w:t>
      </w:r>
    </w:p>
    <w:p>
      <w:pPr>
        <w:pStyle w:val="29"/>
        <w:widowControl w:val="0"/>
        <w:wordWrap/>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（5）试验前3个工作日向贵院提交《耐压试验方案》（含试验电压、时间、影响范围及应急措施），经批准后方可实施。</w:t>
      </w:r>
    </w:p>
    <w:p>
      <w:pPr>
        <w:pStyle w:val="29"/>
        <w:widowControl w:val="0"/>
        <w:wordWrap/>
        <w:adjustRightInd/>
        <w:snapToGrid/>
        <w:spacing w:line="360" w:lineRule="auto"/>
        <w:ind w:left="0" w:leftChars="0" w:firstLine="42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（6）关键供电回路试验前，与贵院高压班共同确认备用电源切换方案，确保ICU、手术室等重点区域供电不受影响。</w:t>
      </w:r>
    </w:p>
    <w:p>
      <w:pPr>
        <w:pStyle w:val="29"/>
        <w:widowControl w:val="0"/>
        <w:wordWrap/>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（7）试验区域设置警示牌及警戒线，非试验人员严禁进入，若试验导致意外停电，立即配合贵院启用备用电源，优先保障医疗用电。</w:t>
      </w:r>
    </w:p>
    <w:p>
      <w:pPr>
        <w:pStyle w:val="29"/>
        <w:widowControl w:val="0"/>
        <w:wordWrap/>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（8）试验期间如需动火作业（如电焊等），提前24小时向保卫科报备，并配备灭火器材（如干粉灭火器、防火毯）。</w:t>
      </w:r>
    </w:p>
    <w:p>
      <w:pPr>
        <w:pStyle w:val="29"/>
        <w:widowControl w:val="0"/>
        <w:wordWrap/>
        <w:adjustRightInd/>
        <w:snapToGrid/>
        <w:spacing w:line="360" w:lineRule="auto"/>
        <w:ind w:firstLine="420"/>
        <w:textAlignment w:val="auto"/>
      </w:pPr>
      <w:r>
        <w:rPr>
          <w:rFonts w:hint="eastAsia" w:ascii="宋体" w:hAnsi="宋体" w:eastAsia="宋体" w:cs="宋体"/>
          <w:kern w:val="0"/>
          <w:sz w:val="24"/>
          <w:szCs w:val="24"/>
          <w:lang w:val="en-US" w:eastAsia="zh-CN" w:bidi="ar-SA"/>
        </w:rPr>
        <w:t>（9）试验后对设备充分放电并接地，经贵院确认后恢复供电。清理试验现场，确保配电房环境整洁，无遗留安全隐患。</w:t>
      </w:r>
    </w:p>
    <w:p>
      <w:pPr>
        <w:adjustRightInd/>
        <w:snapToGrid/>
        <w:spacing w:before="150" w:after="0" w:line="480" w:lineRule="atLeast"/>
        <w:rPr>
          <w:rFonts w:hint="eastAsia" w:ascii="黑体" w:hAnsi="黑体" w:eastAsia="黑体" w:cs="宋体"/>
          <w:b/>
          <w:bCs/>
          <w:color w:val="404040"/>
          <w:sz w:val="26"/>
        </w:rPr>
      </w:pPr>
      <w:r>
        <w:rPr>
          <w:b/>
          <w:sz w:val="32"/>
          <w:szCs w:val="32"/>
        </w:rPr>
        <w:br w:type="page"/>
      </w:r>
      <w:r>
        <w:rPr>
          <w:rFonts w:hint="eastAsia" w:ascii="黑体" w:hAnsi="黑体" w:eastAsia="黑体" w:cs="宋体"/>
          <w:b/>
          <w:bCs/>
          <w:color w:val="404040"/>
          <w:sz w:val="26"/>
        </w:rPr>
        <w:t>评分标准（潜在投标人需提供偏离表）</w:t>
      </w:r>
    </w:p>
    <w:p>
      <w:pPr>
        <w:pStyle w:val="19"/>
        <w:spacing w:beforeAutospacing="0" w:afterAutospacing="0" w:line="360" w:lineRule="auto"/>
        <w:ind w:firstLine="480" w:firstLineChars="200"/>
        <w:rPr>
          <w:rFonts w:hint="eastAsia"/>
        </w:rPr>
      </w:pPr>
      <w:r>
        <w:rPr>
          <w:rFonts w:hint="eastAsia"/>
        </w:rPr>
        <w:t>①</w:t>
      </w:r>
      <w:r>
        <w:rPr>
          <w:rFonts w:hint="eastAsia"/>
          <w:shd w:val="clear" w:color="auto" w:fill="FFFFFF"/>
        </w:rPr>
        <w:t>价格项（</w:t>
      </w:r>
      <w:r>
        <w:rPr>
          <w:rFonts w:cs="Calibri"/>
          <w:shd w:val="clear" w:color="auto" w:fill="FFFFFF"/>
        </w:rPr>
        <w:t>F1</w:t>
      </w:r>
      <w:r>
        <w:rPr>
          <w:rFonts w:hint="eastAsia"/>
          <w:shd w:val="clear" w:color="auto" w:fill="FFFFFF"/>
        </w:rPr>
        <w:t>×</w:t>
      </w:r>
      <w:r>
        <w:rPr>
          <w:rFonts w:cs="Calibri"/>
          <w:shd w:val="clear" w:color="auto" w:fill="FFFFFF"/>
        </w:rPr>
        <w:t>A1</w:t>
      </w:r>
      <w:r>
        <w:rPr>
          <w:rFonts w:hint="eastAsia"/>
          <w:shd w:val="clear" w:color="auto" w:fill="FFFFFF"/>
        </w:rPr>
        <w:t>）满分为</w:t>
      </w:r>
      <w:r>
        <w:rPr>
          <w:rFonts w:hint="eastAsia"/>
          <w:u w:val="single"/>
          <w:shd w:val="clear" w:color="auto" w:fill="FFFFFF"/>
          <w:lang w:val="en-US" w:eastAsia="zh-CN"/>
        </w:rPr>
        <w:t>2</w:t>
      </w:r>
      <w:r>
        <w:rPr>
          <w:rFonts w:hint="eastAsia"/>
          <w:u w:val="single"/>
          <w:shd w:val="clear" w:color="auto" w:fill="FFFFFF"/>
        </w:rPr>
        <w:t>0</w:t>
      </w:r>
      <w:r>
        <w:rPr>
          <w:rFonts w:hint="eastAsia"/>
          <w:shd w:val="clear" w:color="auto" w:fill="FFFFFF"/>
        </w:rPr>
        <w:t>分。</w:t>
      </w:r>
    </w:p>
    <w:tbl>
      <w:tblPr>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582"/>
        <w:gridCol w:w="982"/>
      </w:tblGrid>
      <w:tr>
        <w:trPr>
          <w:trHeight w:val="90"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 w:val="24"/>
              </w:rPr>
            </w:pPr>
            <w:r>
              <w:rPr>
                <w:rFonts w:hint="eastAsia" w:ascii="宋体" w:hAnsi="宋体" w:eastAsia="宋体" w:cs="宋体"/>
                <w:b/>
                <w:bCs/>
                <w:sz w:val="24"/>
              </w:rPr>
              <w:t>评标项目</w:t>
            </w:r>
          </w:p>
        </w:tc>
        <w:tc>
          <w:tcPr>
            <w:tcW w:w="75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 w:val="24"/>
              </w:rPr>
            </w:pPr>
            <w:r>
              <w:rPr>
                <w:rFonts w:hint="eastAsia" w:ascii="宋体" w:hAnsi="宋体" w:eastAsia="宋体" w:cs="宋体"/>
                <w:b/>
                <w:bCs/>
                <w:sz w:val="24"/>
              </w:rPr>
              <w:t>评标方法描述</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auto"/>
              <w:ind w:left="-110" w:leftChars="-50" w:right="-110" w:rightChars="-50"/>
              <w:jc w:val="center"/>
              <w:rPr>
                <w:rFonts w:hint="eastAsia" w:ascii="宋体" w:hAnsi="宋体" w:eastAsia="宋体" w:cs="宋体"/>
                <w:b/>
                <w:bCs/>
                <w:sz w:val="24"/>
              </w:rPr>
            </w:pPr>
            <w:r>
              <w:rPr>
                <w:rFonts w:hint="eastAsia" w:ascii="宋体" w:hAnsi="宋体" w:eastAsia="宋体" w:cs="宋体"/>
                <w:b/>
                <w:bCs/>
                <w:sz w:val="24"/>
              </w:rPr>
              <w:t>评标分值</w:t>
            </w:r>
          </w:p>
        </w:tc>
      </w:tr>
      <w:tr>
        <w:trPr>
          <w:trHeight w:val="3901"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报价部分得分</w:t>
            </w:r>
          </w:p>
          <w:p>
            <w:pPr>
              <w:spacing w:line="360" w:lineRule="auto"/>
              <w:ind w:left="-77" w:leftChars="-35" w:right="-77" w:rightChars="-35"/>
              <w:jc w:val="center"/>
              <w:rPr>
                <w:rFonts w:hint="eastAsia" w:ascii="宋体" w:hAnsi="宋体" w:eastAsia="宋体" w:cs="宋体"/>
                <w:sz w:val="24"/>
              </w:rPr>
            </w:pPr>
            <w:r>
              <w:rPr>
                <w:rFonts w:hint="eastAsia" w:ascii="宋体" w:hAnsi="宋体" w:eastAsia="宋体" w:cs="宋体"/>
                <w:sz w:val="24"/>
              </w:rPr>
              <w:t>(20分)</w:t>
            </w:r>
          </w:p>
        </w:tc>
        <w:tc>
          <w:tcPr>
            <w:tcW w:w="758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投标人的投标总价经修正后，计算出报价评标价，评委将按下列方法计算合格投标人的报价部分得分。</w:t>
            </w:r>
          </w:p>
          <w:p>
            <w:pPr>
              <w:spacing w:line="360" w:lineRule="auto"/>
              <w:rPr>
                <w:rFonts w:hint="eastAsia" w:ascii="宋体" w:hAnsi="宋体" w:eastAsia="宋体" w:cs="宋体"/>
                <w:sz w:val="24"/>
              </w:rPr>
            </w:pPr>
            <w:r>
              <w:rPr>
                <w:rFonts w:hint="eastAsia" w:ascii="宋体" w:hAnsi="宋体" w:eastAsia="宋体" w:cs="宋体"/>
                <w:sz w:val="24"/>
              </w:rPr>
              <w:t>A=H/Hn×20％×100</w:t>
            </w:r>
          </w:p>
          <w:p>
            <w:pPr>
              <w:pStyle w:val="11"/>
              <w:spacing w:beforeAutospacing="1" w:after="0" w:line="360" w:lineRule="auto"/>
              <w:rPr>
                <w:rFonts w:hint="eastAsia" w:ascii="宋体" w:eastAsia="宋体" w:cs="宋体"/>
                <w:sz w:val="24"/>
                <w:szCs w:val="24"/>
              </w:rPr>
            </w:pPr>
            <w:r>
              <w:rPr>
                <w:rFonts w:ascii="宋体" w:eastAsia="宋体" w:cs="宋体"/>
                <w:sz w:val="24"/>
                <w:szCs w:val="24"/>
              </w:rPr>
              <w:t>Hn：各投标供应商投标报价不超过最高限价即为有效投标报价。  </w:t>
            </w:r>
          </w:p>
          <w:p>
            <w:pPr>
              <w:pStyle w:val="11"/>
              <w:spacing w:beforeAutospacing="1" w:after="0" w:line="360" w:lineRule="auto"/>
              <w:rPr>
                <w:rFonts w:hint="eastAsia" w:ascii="宋体" w:eastAsia="宋体" w:cs="宋体"/>
                <w:sz w:val="24"/>
                <w:szCs w:val="24"/>
              </w:rPr>
            </w:pPr>
            <w:r>
              <w:rPr>
                <w:rFonts w:ascii="宋体" w:eastAsia="宋体" w:cs="宋体"/>
                <w:sz w:val="24"/>
                <w:szCs w:val="24"/>
              </w:rPr>
              <w:t>H：评标基准价即满足招标文件要求且投标价格最低的投标报价为评标基准价。   </w:t>
            </w:r>
          </w:p>
          <w:p>
            <w:pPr>
              <w:pStyle w:val="11"/>
              <w:spacing w:beforeAutospacing="1" w:after="0" w:line="360" w:lineRule="auto"/>
              <w:rPr>
                <w:rFonts w:hint="eastAsia" w:ascii="宋体" w:eastAsia="宋体" w:cs="宋体"/>
                <w:sz w:val="24"/>
                <w:szCs w:val="24"/>
              </w:rPr>
            </w:pPr>
            <w:r>
              <w:rPr>
                <w:rFonts w:ascii="宋体" w:eastAsia="宋体" w:cs="宋体"/>
                <w:sz w:val="24"/>
                <w:szCs w:val="24"/>
              </w:rPr>
              <w:t>计算分数时四舍五入取小数点后两位。</w:t>
            </w:r>
          </w:p>
          <w:p>
            <w:pPr>
              <w:spacing w:line="360" w:lineRule="auto"/>
              <w:rPr>
                <w:rFonts w:hint="eastAsia" w:ascii="宋体" w:hAnsi="宋体" w:eastAsia="宋体" w:cs="宋体"/>
                <w:sz w:val="24"/>
              </w:rPr>
            </w:pPr>
            <w:r>
              <w:rPr>
                <w:rFonts w:hint="eastAsia" w:ascii="宋体" w:hAnsi="宋体" w:eastAsia="宋体" w:cs="宋体"/>
                <w:sz w:val="24"/>
              </w:rPr>
              <w:t>注：若有价格扣除，用扣除后的价格参与评审。</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20</w:t>
            </w:r>
          </w:p>
        </w:tc>
      </w:tr>
    </w:tbl>
    <w:p>
      <w:pPr>
        <w:pStyle w:val="19"/>
        <w:spacing w:beforeAutospacing="0" w:afterAutospacing="0" w:line="360" w:lineRule="auto"/>
        <w:rPr>
          <w:rFonts w:hint="eastAsia" w:eastAsia="宋体"/>
          <w:shd w:val="clear" w:color="auto" w:fill="FFFFFF"/>
          <w:lang w:val="en-US" w:eastAsia="zh-CN"/>
        </w:rPr>
      </w:pPr>
    </w:p>
    <w:p>
      <w:pPr>
        <w:pStyle w:val="19"/>
        <w:spacing w:beforeAutospacing="0" w:afterAutospacing="0" w:line="360" w:lineRule="auto"/>
        <w:ind w:firstLine="240" w:firstLineChars="100"/>
        <w:rPr>
          <w:rFonts w:hint="eastAsia"/>
          <w:shd w:val="clear" w:color="auto" w:fill="FFFFFF"/>
        </w:rPr>
      </w:pPr>
      <w:r>
        <w:rPr>
          <w:rFonts w:hint="eastAsia"/>
          <w:shd w:val="clear" w:color="auto" w:fill="FFFFFF"/>
        </w:rPr>
        <w:t>②技术项（</w:t>
      </w:r>
      <w:r>
        <w:rPr>
          <w:rFonts w:cs="Calibri"/>
          <w:shd w:val="clear" w:color="auto" w:fill="FFFFFF"/>
        </w:rPr>
        <w:t>F2</w:t>
      </w:r>
      <w:r>
        <w:rPr>
          <w:rFonts w:hint="eastAsia"/>
          <w:shd w:val="clear" w:color="auto" w:fill="FFFFFF"/>
        </w:rPr>
        <w:t>×</w:t>
      </w:r>
      <w:r>
        <w:rPr>
          <w:rFonts w:cs="Calibri"/>
          <w:shd w:val="clear" w:color="auto" w:fill="FFFFFF"/>
        </w:rPr>
        <w:t>A2</w:t>
      </w:r>
      <w:r>
        <w:rPr>
          <w:rFonts w:hint="eastAsia"/>
          <w:shd w:val="clear" w:color="auto" w:fill="FFFFFF"/>
        </w:rPr>
        <w:t>）满分为</w:t>
      </w:r>
      <w:r>
        <w:rPr>
          <w:rFonts w:hint="eastAsia"/>
          <w:u w:val="single"/>
          <w:shd w:val="clear" w:color="auto" w:fill="FFFFFF"/>
          <w:lang w:val="en-US" w:eastAsia="zh-CN"/>
        </w:rPr>
        <w:t>66</w:t>
      </w:r>
      <w:r>
        <w:rPr>
          <w:rFonts w:hint="eastAsia"/>
          <w:shd w:val="clear" w:color="auto" w:fill="FFFFFF"/>
        </w:rPr>
        <w:t>分。</w:t>
      </w:r>
    </w:p>
    <w:tbl>
      <w:tblPr>
        <w:tblW w:w="938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8"/>
        <w:gridCol w:w="702"/>
        <w:gridCol w:w="7652"/>
      </w:tblGrid>
      <w:tr>
        <w:trPr>
          <w:jc w:val="center"/>
        </w:trPr>
        <w:tc>
          <w:tcPr>
            <w:tcW w:w="1028" w:type="dxa"/>
            <w:tcBorders>
              <w:top w:val="outset" w:color="auto" w:sz="6" w:space="0"/>
              <w:left w:val="outset" w:color="auto" w:sz="6" w:space="0"/>
              <w:bottom w:val="outset" w:color="auto" w:sz="6" w:space="0"/>
              <w:right w:val="outset" w:color="auto" w:sz="6" w:space="0"/>
            </w:tcBorders>
            <w:vAlign w:val="center"/>
          </w:tcPr>
          <w:p>
            <w:pPr>
              <w:rPr>
                <w:rFonts w:hint="eastAsia" w:ascii="宋体" w:hAnsi="宋体" w:eastAsia="宋体" w:cs="宋体"/>
                <w:sz w:val="24"/>
              </w:rPr>
            </w:pPr>
            <w:r>
              <w:rPr>
                <w:rFonts w:hint="eastAsia" w:ascii="宋体" w:hAnsi="宋体" w:eastAsia="宋体" w:cs="宋体"/>
                <w:sz w:val="24"/>
              </w:rPr>
              <w:t>评标项目</w:t>
            </w:r>
          </w:p>
        </w:tc>
        <w:tc>
          <w:tcPr>
            <w:tcW w:w="702" w:type="dxa"/>
            <w:tcBorders>
              <w:top w:val="outset" w:color="auto" w:sz="6" w:space="0"/>
              <w:left w:val="nil"/>
              <w:bottom w:val="outset" w:color="auto" w:sz="6" w:space="0"/>
              <w:right w:val="outset" w:color="auto" w:sz="6" w:space="0"/>
            </w:tcBorders>
            <w:vAlign w:val="center"/>
          </w:tcPr>
          <w:p>
            <w:pPr>
              <w:jc w:val="center"/>
              <w:rPr>
                <w:rFonts w:hint="eastAsia" w:ascii="宋体" w:hAnsi="宋体" w:eastAsia="宋体" w:cs="宋体"/>
                <w:sz w:val="24"/>
              </w:rPr>
            </w:pPr>
            <w:r>
              <w:rPr>
                <w:rFonts w:hint="eastAsia" w:ascii="宋体" w:hAnsi="宋体" w:eastAsia="宋体" w:cs="宋体"/>
                <w:sz w:val="24"/>
              </w:rPr>
              <w:t>评标分值</w:t>
            </w:r>
          </w:p>
        </w:tc>
        <w:tc>
          <w:tcPr>
            <w:tcW w:w="7652" w:type="dxa"/>
            <w:tcBorders>
              <w:top w:val="outset" w:color="auto" w:sz="6" w:space="0"/>
              <w:left w:val="nil"/>
              <w:bottom w:val="outset" w:color="auto" w:sz="6" w:space="0"/>
              <w:right w:val="outset" w:color="auto" w:sz="6" w:space="0"/>
            </w:tcBorders>
            <w:vAlign w:val="center"/>
          </w:tcPr>
          <w:p>
            <w:pPr>
              <w:rPr>
                <w:rFonts w:hint="eastAsia" w:ascii="宋体" w:hAnsi="宋体" w:eastAsia="宋体" w:cs="宋体"/>
                <w:sz w:val="24"/>
              </w:rPr>
            </w:pPr>
            <w:r>
              <w:rPr>
                <w:rFonts w:hint="eastAsia" w:ascii="宋体" w:hAnsi="宋体" w:eastAsia="宋体" w:cs="宋体"/>
                <w:sz w:val="24"/>
              </w:rPr>
              <w:t>评标方法描述</w:t>
            </w:r>
          </w:p>
        </w:tc>
      </w:tr>
      <w:tr>
        <w:trPr>
          <w:trHeight w:val="1912" w:hRule="atLeast"/>
          <w:jc w:val="center"/>
        </w:trPr>
        <w:tc>
          <w:tcPr>
            <w:tcW w:w="1028" w:type="dxa"/>
            <w:tcBorders>
              <w:top w:val="outset" w:color="auto" w:sz="6" w:space="0"/>
              <w:left w:val="outset" w:color="auto" w:sz="6" w:space="0"/>
              <w:bottom w:val="outset" w:color="auto" w:sz="6" w:space="0"/>
              <w:right w:val="outset" w:color="auto" w:sz="6" w:space="0"/>
            </w:tcBorders>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rPr>
              <w:t>1、</w:t>
            </w:r>
            <w:r>
              <w:rPr>
                <w:rFonts w:hint="eastAsia" w:ascii="宋体" w:hAnsi="宋体" w:eastAsia="宋体" w:cs="宋体"/>
                <w:b w:val="0"/>
                <w:bCs w:val="0"/>
                <w:color w:val="auto"/>
                <w:sz w:val="24"/>
                <w:szCs w:val="24"/>
              </w:rPr>
              <w:t>响应情况</w:t>
            </w:r>
          </w:p>
        </w:tc>
        <w:tc>
          <w:tcPr>
            <w:tcW w:w="702" w:type="dxa"/>
            <w:tcBorders>
              <w:top w:val="outset" w:color="auto" w:sz="6" w:space="0"/>
              <w:left w:val="nil"/>
              <w:bottom w:val="outset" w:color="auto" w:sz="6" w:space="0"/>
              <w:right w:val="outset" w:color="auto" w:sz="6" w:space="0"/>
            </w:tcBorders>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46.00</w:t>
            </w:r>
          </w:p>
        </w:tc>
        <w:tc>
          <w:tcPr>
            <w:tcW w:w="7652"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bidi="en-US"/>
              </w:rPr>
              <w:t>根据各投标人对招标文件附件中“一、技术要求”中的响应情况由招标小组进行评分，完全满足招标文件要求的得</w:t>
            </w:r>
            <w:r>
              <w:rPr>
                <w:rFonts w:hint="eastAsia" w:ascii="宋体" w:hAnsi="宋体" w:eastAsia="宋体" w:cs="宋体"/>
                <w:b w:val="0"/>
                <w:bCs w:val="0"/>
                <w:color w:val="auto"/>
                <w:sz w:val="24"/>
                <w:szCs w:val="24"/>
                <w:lang w:val="en-US" w:eastAsia="zh-CN" w:bidi="en-US"/>
              </w:rPr>
              <w:t>46</w:t>
            </w:r>
            <w:r>
              <w:rPr>
                <w:rFonts w:hint="eastAsia" w:ascii="宋体" w:hAnsi="宋体" w:eastAsia="宋体" w:cs="宋体"/>
                <w:b w:val="0"/>
                <w:bCs w:val="0"/>
                <w:color w:val="auto"/>
                <w:sz w:val="24"/>
                <w:szCs w:val="24"/>
                <w:lang w:bidi="en-US"/>
              </w:rPr>
              <w:t>分。（一）设备要求14项提供一项得1分，未提供不得分。（二）施工要求8项提供一项得2</w:t>
            </w:r>
            <w:r>
              <w:rPr>
                <w:rFonts w:hint="eastAsia" w:ascii="宋体" w:hAnsi="宋体" w:eastAsia="宋体" w:cs="宋体"/>
                <w:b w:val="0"/>
                <w:bCs w:val="0"/>
                <w:color w:val="auto"/>
                <w:sz w:val="24"/>
                <w:szCs w:val="24"/>
                <w:lang w:val="en-US" w:eastAsia="zh-CN" w:bidi="en-US"/>
              </w:rPr>
              <w:t>.5</w:t>
            </w:r>
            <w:r>
              <w:rPr>
                <w:rFonts w:hint="eastAsia" w:ascii="宋体" w:hAnsi="宋体" w:eastAsia="宋体" w:cs="宋体"/>
                <w:b w:val="0"/>
                <w:bCs w:val="0"/>
                <w:color w:val="auto"/>
                <w:sz w:val="24"/>
                <w:szCs w:val="24"/>
                <w:lang w:bidi="en-US"/>
              </w:rPr>
              <w:t>分，未提供不得分。（三）其他要求</w:t>
            </w:r>
            <w:r>
              <w:rPr>
                <w:rFonts w:hint="eastAsia" w:ascii="宋体" w:hAnsi="宋体" w:eastAsia="宋体" w:cs="宋体"/>
                <w:b w:val="0"/>
                <w:bCs w:val="0"/>
                <w:color w:val="auto"/>
                <w:sz w:val="24"/>
                <w:szCs w:val="24"/>
                <w:lang w:val="en-US" w:eastAsia="zh-CN" w:bidi="en-US"/>
              </w:rPr>
              <w:t>6</w:t>
            </w:r>
            <w:r>
              <w:rPr>
                <w:rFonts w:hint="eastAsia" w:ascii="宋体" w:hAnsi="宋体" w:eastAsia="宋体" w:cs="宋体"/>
                <w:b w:val="0"/>
                <w:bCs w:val="0"/>
                <w:color w:val="auto"/>
                <w:sz w:val="24"/>
                <w:szCs w:val="24"/>
                <w:lang w:bidi="en-US"/>
              </w:rPr>
              <w:t>项提供一项得</w:t>
            </w:r>
            <w:r>
              <w:rPr>
                <w:rFonts w:hint="eastAsia" w:ascii="宋体" w:hAnsi="宋体" w:eastAsia="宋体" w:cs="宋体"/>
                <w:b w:val="0"/>
                <w:bCs w:val="0"/>
                <w:color w:val="auto"/>
                <w:sz w:val="24"/>
                <w:szCs w:val="24"/>
                <w:lang w:val="en-US" w:eastAsia="zh-CN" w:bidi="en-US"/>
              </w:rPr>
              <w:t>2</w:t>
            </w:r>
            <w:r>
              <w:rPr>
                <w:rFonts w:hint="eastAsia" w:ascii="宋体" w:hAnsi="宋体" w:eastAsia="宋体" w:cs="宋体"/>
                <w:b w:val="0"/>
                <w:bCs w:val="0"/>
                <w:color w:val="auto"/>
                <w:sz w:val="24"/>
                <w:szCs w:val="24"/>
                <w:lang w:bidi="en-US"/>
              </w:rPr>
              <w:t>分，未提供不得分。正偏离不加分。</w:t>
            </w:r>
          </w:p>
        </w:tc>
      </w:tr>
      <w:tr>
        <w:trPr>
          <w:jc w:val="center"/>
        </w:trP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实施方案</w:t>
            </w:r>
          </w:p>
        </w:tc>
        <w:tc>
          <w:tcPr>
            <w:tcW w:w="702"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3.00</w:t>
            </w:r>
          </w:p>
        </w:tc>
        <w:tc>
          <w:tcPr>
            <w:tcW w:w="7652"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招标小组根据投标人所提供的</w:t>
            </w:r>
            <w:r>
              <w:rPr>
                <w:rFonts w:hint="eastAsia" w:ascii="宋体" w:hAnsi="宋体" w:eastAsia="宋体" w:cs="宋体"/>
                <w:b w:val="0"/>
                <w:bCs w:val="0"/>
                <w:color w:val="auto"/>
                <w:sz w:val="24"/>
                <w:szCs w:val="24"/>
                <w:lang w:eastAsia="zh-CN"/>
              </w:rPr>
              <w:t>实施方案</w:t>
            </w:r>
            <w:r>
              <w:rPr>
                <w:rFonts w:hint="eastAsia" w:ascii="宋体" w:hAnsi="宋体" w:eastAsia="宋体" w:cs="宋体"/>
                <w:b w:val="0"/>
                <w:bCs w:val="0"/>
                <w:color w:val="auto"/>
                <w:sz w:val="24"/>
                <w:szCs w:val="24"/>
              </w:rPr>
              <w:t>情况，</w:t>
            </w:r>
            <w:r>
              <w:rPr>
                <w:rFonts w:hint="eastAsia" w:ascii="宋体" w:hAnsi="宋体" w:eastAsia="宋体" w:cs="宋体"/>
                <w:b w:val="0"/>
                <w:bCs w:val="0"/>
                <w:color w:val="auto"/>
                <w:sz w:val="24"/>
                <w:szCs w:val="24"/>
                <w:lang w:eastAsia="zh-CN"/>
              </w:rPr>
              <w:t>包括操作方案、进度计划、</w:t>
            </w:r>
            <w:r>
              <w:rPr>
                <w:rFonts w:hint="eastAsia" w:ascii="宋体" w:hAnsi="宋体" w:eastAsia="宋体" w:cs="宋体"/>
                <w:b w:val="0"/>
                <w:bCs w:val="0"/>
                <w:color w:val="auto"/>
                <w:sz w:val="24"/>
                <w:szCs w:val="24"/>
              </w:rPr>
              <w:t>项目重难点的分析与现场环境协调情况进行评分，方案详实、阐述清晰、科学合理、可操作性强，切合项目实际的得3分；方案阐述合理，虽部分内容表述有所欠缺，但总体符合项目实际、具有可操作性的得2</w:t>
            </w:r>
            <w:r>
              <w:rPr>
                <w:rFonts w:hint="eastAsia" w:ascii="宋体" w:hAnsi="宋体" w:cs="宋体"/>
                <w:b w:val="0"/>
                <w:bCs w:val="0"/>
                <w:color w:val="auto"/>
                <w:sz w:val="24"/>
                <w:szCs w:val="24"/>
              </w:rPr>
              <w:t>.75</w:t>
            </w:r>
            <w:r>
              <w:rPr>
                <w:rFonts w:hint="eastAsia" w:ascii="宋体" w:hAnsi="宋体" w:eastAsia="宋体" w:cs="宋体"/>
                <w:b w:val="0"/>
                <w:bCs w:val="0"/>
                <w:color w:val="auto"/>
                <w:sz w:val="24"/>
                <w:szCs w:val="24"/>
              </w:rPr>
              <w:t>分；方案与本项目实际情况存在一定偏差，但内容总体合理的得</w:t>
            </w:r>
            <w:r>
              <w:rPr>
                <w:rFonts w:hint="eastAsia" w:ascii="宋体" w:hAnsi="宋体" w:cs="宋体"/>
                <w:b w:val="0"/>
                <w:bCs w:val="0"/>
                <w:color w:val="auto"/>
                <w:sz w:val="24"/>
                <w:szCs w:val="24"/>
              </w:rPr>
              <w:t>2.5</w:t>
            </w:r>
            <w:r>
              <w:rPr>
                <w:rFonts w:hint="eastAsia" w:ascii="宋体" w:hAnsi="宋体" w:eastAsia="宋体" w:cs="宋体"/>
                <w:b w:val="0"/>
                <w:bCs w:val="0"/>
                <w:color w:val="auto"/>
                <w:sz w:val="24"/>
                <w:szCs w:val="24"/>
              </w:rPr>
              <w:t>分；未提供方案或方案不合理的本项不得分。</w:t>
            </w:r>
          </w:p>
        </w:tc>
      </w:tr>
      <w:tr>
        <w:trPr>
          <w:jc w:val="center"/>
        </w:trP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3、现场组织机构、职责、运行方式及保障措施情况</w:t>
            </w:r>
          </w:p>
        </w:tc>
        <w:tc>
          <w:tcPr>
            <w:tcW w:w="702"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3.00</w:t>
            </w:r>
          </w:p>
        </w:tc>
        <w:tc>
          <w:tcPr>
            <w:tcW w:w="7652"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招标小组根据投标人所提供的项目现场组织机构、职责、运行方式及保障措施情况进行评分，方案详实、阐述清晰、科学合理、可操作性强，切合项目实际的得3分；方案阐述合理，虽部分内容表述有所欠缺，但总体符合项目实际、具有可操作性的得2</w:t>
            </w:r>
            <w:r>
              <w:rPr>
                <w:rFonts w:hint="eastAsia" w:ascii="宋体" w:hAnsi="宋体" w:cs="宋体"/>
                <w:b w:val="0"/>
                <w:bCs w:val="0"/>
                <w:color w:val="auto"/>
                <w:sz w:val="24"/>
                <w:szCs w:val="24"/>
              </w:rPr>
              <w:t>.75</w:t>
            </w:r>
            <w:r>
              <w:rPr>
                <w:rFonts w:hint="eastAsia" w:ascii="宋体" w:hAnsi="宋体" w:eastAsia="宋体" w:cs="宋体"/>
                <w:b w:val="0"/>
                <w:bCs w:val="0"/>
                <w:color w:val="auto"/>
                <w:sz w:val="24"/>
                <w:szCs w:val="24"/>
              </w:rPr>
              <w:t>分；方案与本项目实际情况存在一定偏差，但内容总体合理的得</w:t>
            </w:r>
            <w:r>
              <w:rPr>
                <w:rFonts w:hint="eastAsia" w:ascii="宋体" w:hAnsi="宋体" w:cs="宋体"/>
                <w:b w:val="0"/>
                <w:bCs w:val="0"/>
                <w:color w:val="auto"/>
                <w:sz w:val="24"/>
                <w:szCs w:val="24"/>
              </w:rPr>
              <w:t>2.5</w:t>
            </w:r>
            <w:r>
              <w:rPr>
                <w:rFonts w:hint="eastAsia" w:ascii="宋体" w:hAnsi="宋体" w:eastAsia="宋体" w:cs="宋体"/>
                <w:b w:val="0"/>
                <w:bCs w:val="0"/>
                <w:color w:val="auto"/>
                <w:sz w:val="24"/>
                <w:szCs w:val="24"/>
              </w:rPr>
              <w:t>分；未提供方案或方案不合理的本项不得分。</w:t>
            </w:r>
          </w:p>
        </w:tc>
      </w:tr>
      <w:tr>
        <w:trPr>
          <w:jc w:val="center"/>
        </w:trP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cs="宋体"/>
                <w:b w:val="0"/>
                <w:bCs w:val="0"/>
                <w:color w:val="auto"/>
                <w:sz w:val="24"/>
                <w:szCs w:val="24"/>
              </w:rPr>
              <w:t>4</w:t>
            </w:r>
            <w:r>
              <w:rPr>
                <w:rFonts w:hint="eastAsia" w:ascii="宋体" w:hAnsi="宋体" w:eastAsia="宋体" w:cs="宋体"/>
                <w:b w:val="0"/>
                <w:bCs w:val="0"/>
                <w:color w:val="auto"/>
                <w:sz w:val="24"/>
                <w:szCs w:val="24"/>
              </w:rPr>
              <w:t>、文明和安全操作流程和制度</w:t>
            </w:r>
          </w:p>
        </w:tc>
        <w:tc>
          <w:tcPr>
            <w:tcW w:w="702"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3.00</w:t>
            </w:r>
          </w:p>
        </w:tc>
        <w:tc>
          <w:tcPr>
            <w:tcW w:w="7652"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招标小组根据投标人所提供针对文明和安全操作流程和制度的承诺情况进行评分，应答内容最明确合理、切合采购人实际情况的得3分；应答内容较明确合理、基本符合采购人实际情况的2</w:t>
            </w:r>
            <w:r>
              <w:rPr>
                <w:rFonts w:hint="eastAsia" w:ascii="宋体" w:hAnsi="宋体" w:cs="宋体"/>
                <w:b w:val="0"/>
                <w:bCs w:val="0"/>
                <w:color w:val="auto"/>
                <w:sz w:val="24"/>
                <w:szCs w:val="24"/>
              </w:rPr>
              <w:t>.75</w:t>
            </w:r>
            <w:r>
              <w:rPr>
                <w:rFonts w:hint="eastAsia" w:ascii="宋体" w:hAnsi="宋体" w:eastAsia="宋体" w:cs="宋体"/>
                <w:b w:val="0"/>
                <w:bCs w:val="0"/>
                <w:color w:val="auto"/>
                <w:sz w:val="24"/>
                <w:szCs w:val="24"/>
              </w:rPr>
              <w:t>分；应答内容简单不完善的得</w:t>
            </w:r>
            <w:r>
              <w:rPr>
                <w:rFonts w:hint="eastAsia" w:ascii="宋体" w:hAnsi="宋体" w:cs="宋体"/>
                <w:b w:val="0"/>
                <w:bCs w:val="0"/>
                <w:color w:val="auto"/>
                <w:sz w:val="24"/>
                <w:szCs w:val="24"/>
              </w:rPr>
              <w:t>2.5</w:t>
            </w:r>
            <w:r>
              <w:rPr>
                <w:rFonts w:hint="eastAsia" w:ascii="宋体" w:hAnsi="宋体" w:eastAsia="宋体" w:cs="宋体"/>
                <w:b w:val="0"/>
                <w:bCs w:val="0"/>
                <w:color w:val="auto"/>
                <w:sz w:val="24"/>
                <w:szCs w:val="24"/>
              </w:rPr>
              <w:t>分；未提供的不得分。</w:t>
            </w:r>
          </w:p>
        </w:tc>
      </w:tr>
      <w:tr>
        <w:trPr>
          <w:jc w:val="center"/>
        </w:trP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cs="宋体"/>
                <w:b w:val="0"/>
                <w:bCs w:val="0"/>
                <w:color w:val="auto"/>
                <w:sz w:val="24"/>
                <w:szCs w:val="24"/>
              </w:rPr>
              <w:t>5</w:t>
            </w:r>
            <w:r>
              <w:rPr>
                <w:rFonts w:hint="eastAsia" w:ascii="宋体" w:hAnsi="宋体" w:eastAsia="宋体" w:cs="宋体"/>
                <w:b w:val="0"/>
                <w:bCs w:val="0"/>
                <w:color w:val="auto"/>
                <w:sz w:val="24"/>
                <w:szCs w:val="24"/>
              </w:rPr>
              <w:t>、安全生产应急预案</w:t>
            </w:r>
          </w:p>
        </w:tc>
        <w:tc>
          <w:tcPr>
            <w:tcW w:w="702"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color w:val="auto"/>
                <w:sz w:val="24"/>
                <w:szCs w:val="24"/>
              </w:rPr>
            </w:pPr>
            <w:r>
              <w:rPr>
                <w:rFonts w:hint="eastAsia" w:ascii="宋体" w:hAnsi="宋体" w:cs="宋体"/>
                <w:b w:val="0"/>
                <w:bCs w:val="0"/>
                <w:color w:val="auto"/>
                <w:sz w:val="24"/>
                <w:szCs w:val="24"/>
              </w:rPr>
              <w:t>2</w:t>
            </w:r>
            <w:r>
              <w:rPr>
                <w:rFonts w:hint="eastAsia" w:ascii="宋体" w:hAnsi="宋体" w:eastAsia="宋体" w:cs="宋体"/>
                <w:b w:val="0"/>
                <w:bCs w:val="0"/>
                <w:color w:val="auto"/>
                <w:sz w:val="24"/>
                <w:szCs w:val="24"/>
              </w:rPr>
              <w:t>.00</w:t>
            </w:r>
          </w:p>
        </w:tc>
        <w:tc>
          <w:tcPr>
            <w:tcW w:w="7652"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招标小组根据投标人针对本项目从安全生产、应急保障两个方面给出安全应急预案全部内容进行评分，方案详实、阐述清晰、科学合理、可操作性强，切合项目实际的得</w:t>
            </w:r>
            <w:r>
              <w:rPr>
                <w:rFonts w:hint="eastAsia" w:ascii="宋体" w:hAnsi="宋体" w:cs="宋体"/>
                <w:b w:val="0"/>
                <w:bCs w:val="0"/>
                <w:color w:val="auto"/>
                <w:sz w:val="24"/>
                <w:szCs w:val="24"/>
              </w:rPr>
              <w:t>2</w:t>
            </w:r>
            <w:r>
              <w:rPr>
                <w:rFonts w:hint="eastAsia" w:ascii="宋体" w:hAnsi="宋体" w:eastAsia="宋体" w:cs="宋体"/>
                <w:b w:val="0"/>
                <w:bCs w:val="0"/>
                <w:color w:val="auto"/>
                <w:sz w:val="24"/>
                <w:szCs w:val="24"/>
              </w:rPr>
              <w:t>分；方案阐述合理，虽部分内容表述有所欠缺，但总体符合项目实际、具有可操作性的得</w:t>
            </w:r>
            <w:r>
              <w:rPr>
                <w:rFonts w:hint="eastAsia" w:ascii="宋体" w:hAnsi="宋体" w:cs="宋体"/>
                <w:b w:val="0"/>
                <w:bCs w:val="0"/>
                <w:color w:val="auto"/>
                <w:sz w:val="24"/>
                <w:szCs w:val="24"/>
              </w:rPr>
              <w:t>1.75</w:t>
            </w:r>
            <w:r>
              <w:rPr>
                <w:rFonts w:hint="eastAsia" w:ascii="宋体" w:hAnsi="宋体" w:eastAsia="宋体" w:cs="宋体"/>
                <w:b w:val="0"/>
                <w:bCs w:val="0"/>
                <w:color w:val="auto"/>
                <w:sz w:val="24"/>
                <w:szCs w:val="24"/>
              </w:rPr>
              <w:t>分；方案与本项目实际情况存在一定偏差，但内容总体合理的得</w:t>
            </w:r>
            <w:r>
              <w:rPr>
                <w:rFonts w:hint="eastAsia" w:ascii="宋体" w:hAnsi="宋体" w:cs="宋体"/>
                <w:b w:val="0"/>
                <w:bCs w:val="0"/>
                <w:color w:val="auto"/>
                <w:sz w:val="24"/>
                <w:szCs w:val="24"/>
              </w:rPr>
              <w:t>1.5</w:t>
            </w:r>
            <w:r>
              <w:rPr>
                <w:rFonts w:hint="eastAsia" w:ascii="宋体" w:hAnsi="宋体" w:eastAsia="宋体" w:cs="宋体"/>
                <w:b w:val="0"/>
                <w:bCs w:val="0"/>
                <w:color w:val="auto"/>
                <w:sz w:val="24"/>
                <w:szCs w:val="24"/>
              </w:rPr>
              <w:t>分；未提供方案或方案不合理的本项不得分。</w:t>
            </w:r>
          </w:p>
        </w:tc>
      </w:tr>
      <w:tr>
        <w:trPr>
          <w:jc w:val="center"/>
        </w:trP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cs="宋体"/>
                <w:b w:val="0"/>
                <w:bCs w:val="0"/>
                <w:color w:val="auto"/>
                <w:sz w:val="24"/>
                <w:szCs w:val="24"/>
              </w:rPr>
              <w:t>6</w:t>
            </w:r>
            <w:r>
              <w:rPr>
                <w:rFonts w:hint="eastAsia" w:ascii="宋体" w:hAnsi="宋体" w:eastAsia="宋体" w:cs="宋体"/>
                <w:b w:val="0"/>
                <w:bCs w:val="0"/>
                <w:color w:val="auto"/>
                <w:sz w:val="24"/>
                <w:szCs w:val="24"/>
              </w:rPr>
              <w:t>、实施团队1</w:t>
            </w:r>
          </w:p>
        </w:tc>
        <w:tc>
          <w:tcPr>
            <w:tcW w:w="702"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2.00</w:t>
            </w:r>
          </w:p>
        </w:tc>
        <w:tc>
          <w:tcPr>
            <w:tcW w:w="7652"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投标人针对本项目配备的项目</w:t>
            </w:r>
            <w:r>
              <w:rPr>
                <w:rFonts w:hint="eastAsia" w:ascii="宋体" w:hAnsi="宋体" w:eastAsia="宋体" w:cs="宋体"/>
                <w:b w:val="0"/>
                <w:bCs w:val="0"/>
                <w:color w:val="auto"/>
                <w:sz w:val="24"/>
                <w:szCs w:val="24"/>
                <w:lang w:eastAsia="zh-CN"/>
              </w:rPr>
              <w:t>负责人</w:t>
            </w:r>
            <w:r>
              <w:rPr>
                <w:rFonts w:hint="eastAsia" w:ascii="宋体" w:hAnsi="宋体" w:eastAsia="宋体" w:cs="宋体"/>
                <w:b w:val="0"/>
                <w:bCs w:val="0"/>
                <w:color w:val="auto"/>
                <w:sz w:val="24"/>
                <w:szCs w:val="24"/>
              </w:rPr>
              <w:t>具有</w:t>
            </w:r>
            <w:r>
              <w:rPr>
                <w:rFonts w:hint="eastAsia" w:ascii="宋体" w:hAnsi="宋体" w:eastAsia="宋体" w:cs="宋体"/>
                <w:b w:val="0"/>
                <w:bCs w:val="0"/>
                <w:color w:val="auto"/>
                <w:kern w:val="2"/>
                <w:sz w:val="24"/>
                <w:szCs w:val="24"/>
                <w:lang w:val="zh-CN" w:bidi="en-US"/>
              </w:rPr>
              <w:t>一级建造师（机电工程）且为高级工程师</w:t>
            </w:r>
            <w:r>
              <w:rPr>
                <w:rFonts w:hint="eastAsia" w:ascii="宋体" w:hAnsi="宋体" w:eastAsia="宋体" w:cs="宋体"/>
                <w:b w:val="0"/>
                <w:bCs w:val="0"/>
                <w:color w:val="auto"/>
                <w:sz w:val="24"/>
                <w:szCs w:val="24"/>
              </w:rPr>
              <w:t>的得2分。须提供证书复印件以及响应文件提交截止时间前六个月任意一个月（不含响应文件提交截止当月）供应商为其缴纳的社保证明材料。注：项目经理与技术负责人不得为同一人。</w:t>
            </w:r>
          </w:p>
        </w:tc>
      </w:tr>
      <w:tr>
        <w:trPr>
          <w:jc w:val="center"/>
        </w:trP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cs="宋体"/>
                <w:b w:val="0"/>
                <w:bCs w:val="0"/>
                <w:color w:val="auto"/>
                <w:sz w:val="24"/>
                <w:szCs w:val="24"/>
              </w:rPr>
              <w:t>7</w:t>
            </w:r>
            <w:r>
              <w:rPr>
                <w:rFonts w:hint="eastAsia" w:ascii="宋体" w:hAnsi="宋体" w:eastAsia="宋体" w:cs="宋体"/>
                <w:b w:val="0"/>
                <w:bCs w:val="0"/>
                <w:color w:val="auto"/>
                <w:sz w:val="24"/>
                <w:szCs w:val="24"/>
              </w:rPr>
              <w:t>、实施团队2</w:t>
            </w:r>
          </w:p>
        </w:tc>
        <w:tc>
          <w:tcPr>
            <w:tcW w:w="702"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2.00</w:t>
            </w:r>
          </w:p>
        </w:tc>
        <w:tc>
          <w:tcPr>
            <w:tcW w:w="7652"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投标人针对本项目配备的技术负责人具有高级工程师职称证书（电力或电气相关专业）的得2分，具有</w:t>
            </w:r>
            <w:r>
              <w:rPr>
                <w:rFonts w:hint="eastAsia" w:ascii="宋体" w:hAnsi="宋体" w:eastAsia="宋体" w:cs="宋体"/>
                <w:b w:val="0"/>
                <w:bCs w:val="0"/>
                <w:color w:val="auto"/>
                <w:kern w:val="2"/>
                <w:sz w:val="24"/>
                <w:szCs w:val="24"/>
                <w:lang w:val="zh-CN" w:bidi="en-US"/>
              </w:rPr>
              <w:t>中级工程师</w:t>
            </w:r>
            <w:r>
              <w:rPr>
                <w:rFonts w:hint="eastAsia" w:ascii="宋体" w:hAnsi="宋体" w:eastAsia="宋体" w:cs="宋体"/>
                <w:b w:val="0"/>
                <w:bCs w:val="0"/>
                <w:color w:val="auto"/>
                <w:sz w:val="24"/>
                <w:szCs w:val="24"/>
              </w:rPr>
              <w:t>（电力或电气相关专业）</w:t>
            </w:r>
            <w:r>
              <w:rPr>
                <w:rFonts w:hint="eastAsia" w:ascii="宋体" w:hAnsi="宋体" w:eastAsia="宋体" w:cs="宋体"/>
                <w:b w:val="0"/>
                <w:bCs w:val="0"/>
                <w:color w:val="auto"/>
                <w:kern w:val="2"/>
                <w:sz w:val="24"/>
                <w:szCs w:val="24"/>
                <w:lang w:val="zh-CN" w:bidi="en-US"/>
              </w:rPr>
              <w:t>的得</w:t>
            </w:r>
            <w:r>
              <w:rPr>
                <w:rFonts w:hint="eastAsia" w:ascii="宋体" w:hAnsi="宋体" w:eastAsia="宋体" w:cs="宋体"/>
                <w:b w:val="0"/>
                <w:bCs w:val="0"/>
                <w:color w:val="auto"/>
                <w:kern w:val="2"/>
                <w:sz w:val="24"/>
                <w:szCs w:val="24"/>
                <w:lang w:bidi="en-US"/>
              </w:rPr>
              <w:t>1分</w:t>
            </w:r>
            <w:r>
              <w:rPr>
                <w:rFonts w:hint="eastAsia" w:ascii="宋体" w:hAnsi="宋体" w:eastAsia="宋体" w:cs="宋体"/>
                <w:b w:val="0"/>
                <w:bCs w:val="0"/>
                <w:color w:val="auto"/>
                <w:sz w:val="24"/>
                <w:szCs w:val="24"/>
              </w:rPr>
              <w:t>。须提供证书复印件以及响应文件提交截止时间前六个月任意一个月（不含响应文件提交截止当月）供应商为其缴纳的社保证明材料。注：项目经理与技术负责人不得为同一人。</w:t>
            </w:r>
          </w:p>
        </w:tc>
      </w:tr>
      <w:tr>
        <w:trPr>
          <w:jc w:val="center"/>
        </w:trP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cs="宋体"/>
                <w:b w:val="0"/>
                <w:bCs w:val="0"/>
                <w:color w:val="auto"/>
                <w:sz w:val="24"/>
                <w:szCs w:val="24"/>
              </w:rPr>
              <w:t>8</w:t>
            </w:r>
            <w:r>
              <w:rPr>
                <w:rFonts w:hint="eastAsia" w:ascii="宋体" w:hAnsi="宋体" w:eastAsia="宋体" w:cs="宋体"/>
                <w:b w:val="0"/>
                <w:bCs w:val="0"/>
                <w:color w:val="auto"/>
                <w:sz w:val="24"/>
                <w:szCs w:val="24"/>
              </w:rPr>
              <w:t>、实施团队3</w:t>
            </w:r>
          </w:p>
        </w:tc>
        <w:tc>
          <w:tcPr>
            <w:tcW w:w="702"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2.00</w:t>
            </w:r>
          </w:p>
        </w:tc>
        <w:tc>
          <w:tcPr>
            <w:tcW w:w="7652" w:type="dxa"/>
            <w:tcBorders>
              <w:top w:val="outset" w:color="auto" w:sz="6" w:space="0"/>
              <w:left w:val="nil"/>
              <w:bottom w:val="outset" w:color="auto" w:sz="6" w:space="0"/>
              <w:right w:val="outset" w:color="auto" w:sz="6" w:space="0"/>
            </w:tcBorders>
            <w:vAlign w:val="top"/>
          </w:tcPr>
          <w:p>
            <w:pPr>
              <w:rPr>
                <w:rFonts w:hint="eastAsia" w:ascii="宋体" w:hAnsi="宋体" w:eastAsia="宋体"/>
                <w:b w:val="0"/>
                <w:bCs w:val="0"/>
                <w:color w:val="auto"/>
                <w:sz w:val="24"/>
                <w:szCs w:val="24"/>
              </w:rPr>
            </w:pPr>
            <w:r>
              <w:rPr>
                <w:rFonts w:hint="eastAsia" w:ascii="宋体" w:hAnsi="宋体" w:eastAsia="宋体" w:cs="宋体"/>
                <w:b w:val="0"/>
                <w:bCs w:val="0"/>
                <w:color w:val="auto"/>
                <w:sz w:val="24"/>
                <w:szCs w:val="24"/>
                <w:lang w:bidi="ar-SA"/>
              </w:rPr>
              <w:t>投标人针对本项目配备的技术质量安全负责人同时具有：工程师职称、安全员证书、高压电工作业证书、继电保护作业证书和电气试验作业证书的得2分。须提供以上相关证书复印件以及响应文件提交截止时间前六个月任意一个月（不含响应文件提交截止当月）投标人为其缴纳的社保证明材料。以上人员不得重复，且该人员不得与其他岗位相互兼任。</w:t>
            </w:r>
          </w:p>
        </w:tc>
      </w:tr>
      <w:tr>
        <w:trPr>
          <w:jc w:val="center"/>
        </w:trP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color w:val="auto"/>
                <w:sz w:val="24"/>
                <w:szCs w:val="24"/>
              </w:rPr>
            </w:pPr>
            <w:r>
              <w:rPr>
                <w:rFonts w:hint="eastAsia" w:ascii="宋体" w:hAnsi="宋体" w:cs="宋体"/>
                <w:b w:val="0"/>
                <w:bCs w:val="0"/>
                <w:color w:val="auto"/>
                <w:sz w:val="24"/>
                <w:szCs w:val="24"/>
              </w:rPr>
              <w:t>8</w:t>
            </w:r>
            <w:r>
              <w:rPr>
                <w:rFonts w:hint="eastAsia" w:ascii="宋体" w:hAnsi="宋体" w:eastAsia="宋体" w:cs="宋体"/>
                <w:b w:val="0"/>
                <w:bCs w:val="0"/>
                <w:color w:val="auto"/>
                <w:sz w:val="24"/>
                <w:szCs w:val="24"/>
              </w:rPr>
              <w:t>、实施团队4</w:t>
            </w:r>
          </w:p>
        </w:tc>
        <w:tc>
          <w:tcPr>
            <w:tcW w:w="702"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3.00</w:t>
            </w:r>
          </w:p>
        </w:tc>
        <w:tc>
          <w:tcPr>
            <w:tcW w:w="7652" w:type="dxa"/>
            <w:tcBorders>
              <w:top w:val="outset" w:color="auto" w:sz="6" w:space="0"/>
              <w:left w:val="nil"/>
              <w:bottom w:val="outset" w:color="auto" w:sz="6" w:space="0"/>
              <w:right w:val="outset" w:color="auto" w:sz="6" w:space="0"/>
            </w:tcBorders>
            <w:vAlign w:val="top"/>
          </w:tcPr>
          <w:p>
            <w:pPr>
              <w:pStyle w:val="29"/>
              <w:ind w:firstLine="422"/>
              <w:rPr>
                <w:rFonts w:hint="eastAsia" w:ascii="宋体" w:hAnsi="宋体" w:cs="宋体"/>
                <w:b w:val="0"/>
                <w:bCs w:val="0"/>
                <w:color w:val="auto"/>
                <w:kern w:val="0"/>
                <w:sz w:val="24"/>
                <w:szCs w:val="24"/>
                <w:lang w:val="en-US"/>
              </w:rPr>
            </w:pPr>
            <w:r>
              <w:rPr>
                <w:rFonts w:hint="eastAsia" w:ascii="宋体" w:hAnsi="宋体" w:cs="宋体"/>
                <w:b w:val="0"/>
                <w:bCs w:val="0"/>
                <w:color w:val="auto"/>
                <w:kern w:val="0"/>
                <w:sz w:val="24"/>
                <w:szCs w:val="24"/>
                <w:lang w:val="en-US"/>
              </w:rPr>
              <w:t>仅提供1支操作队伍不得分，提供2支操作队伍得1.5分，提供3支操作队伍得3分。（最低操作队伍要求：专职安全员1名、继电保护作业员1名、电气试验作业员1名、高压电工作业员1名，以上四名人员为1队。）证明材料：提供安全员C证书扫描件，应急管理部门颁发的继电保护作业、电气试验作业、高压电工作业特种作业操作证，且在有效期内，以及投标单位为其缴纳的社保，社保缴纳时间要求为近6个月的社保缴纳证明（注：近6个月是指本招标项目投标截止之日的上一个月为始点并往前追溯连续缴费累计6个月及以上扫描件为准）</w:t>
            </w:r>
          </w:p>
          <w:p>
            <w:pPr>
              <w:rPr>
                <w:rFonts w:hint="eastAsia" w:ascii="宋体" w:hAnsi="宋体" w:eastAsia="宋体"/>
                <w:b w:val="0"/>
                <w:bCs w:val="0"/>
                <w:color w:val="auto"/>
                <w:sz w:val="24"/>
                <w:szCs w:val="24"/>
              </w:rPr>
            </w:pPr>
          </w:p>
        </w:tc>
      </w:tr>
    </w:tbl>
    <w:p>
      <w:pPr>
        <w:pStyle w:val="19"/>
        <w:shd w:val="clear" w:color="auto" w:fill="FFFFFF"/>
        <w:spacing w:beforeAutospacing="0" w:afterAutospacing="0" w:line="360" w:lineRule="auto"/>
        <w:ind w:firstLine="480"/>
        <w:rPr>
          <w:rFonts w:hint="eastAsia"/>
          <w:sz w:val="19"/>
          <w:szCs w:val="19"/>
          <w:shd w:val="clear" w:color="auto" w:fill="FFFFFF"/>
        </w:rPr>
      </w:pPr>
      <w:r>
        <w:rPr>
          <w:rFonts w:hint="eastAsia"/>
          <w:color w:val="000000"/>
        </w:rPr>
        <w:t>③商务项（</w:t>
      </w:r>
      <w:r>
        <w:rPr>
          <w:rFonts w:ascii="Calibri" w:hAnsi="Calibri" w:cs="Calibri"/>
          <w:color w:val="000000"/>
        </w:rPr>
        <w:t>F3</w:t>
      </w:r>
      <w:r>
        <w:rPr>
          <w:rFonts w:hint="eastAsia"/>
          <w:color w:val="000000"/>
        </w:rPr>
        <w:t>×</w:t>
      </w:r>
      <w:r>
        <w:rPr>
          <w:rFonts w:ascii="Calibri" w:hAnsi="Calibri" w:cs="Calibri"/>
          <w:color w:val="000000"/>
        </w:rPr>
        <w:t>A3</w:t>
      </w:r>
      <w:r>
        <w:rPr>
          <w:rFonts w:hint="eastAsia"/>
          <w:color w:val="000000"/>
        </w:rPr>
        <w:t>）满分为</w:t>
      </w:r>
      <w:r>
        <w:rPr>
          <w:rFonts w:hint="eastAsia"/>
          <w:color w:val="000000"/>
          <w:u w:val="single"/>
        </w:rPr>
        <w:t>1</w:t>
      </w:r>
      <w:r>
        <w:rPr>
          <w:rFonts w:hint="eastAsia"/>
          <w:color w:val="000000"/>
          <w:u w:val="single"/>
          <w:lang w:val="en-US" w:eastAsia="zh-CN"/>
        </w:rPr>
        <w:t>4</w:t>
      </w:r>
      <w:r>
        <w:rPr>
          <w:rFonts w:hint="eastAsia"/>
          <w:color w:val="000000"/>
        </w:rPr>
        <w:t>分</w:t>
      </w:r>
    </w:p>
    <w:tbl>
      <w:tblPr>
        <w:tblpPr w:leftFromText="180" w:rightFromText="180" w:vertAnchor="text" w:horzAnchor="page" w:tblpX="1225" w:tblpY="407"/>
        <w:tblOverlap w:val="never"/>
        <w:tblW w:w="938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8"/>
        <w:gridCol w:w="634"/>
        <w:gridCol w:w="7720"/>
      </w:tblGrid>
      <w:t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1、业绩</w:t>
            </w:r>
          </w:p>
        </w:tc>
        <w:tc>
          <w:tcPr>
            <w:tcW w:w="634"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3.00</w:t>
            </w:r>
          </w:p>
        </w:tc>
        <w:tc>
          <w:tcPr>
            <w:tcW w:w="7720" w:type="dxa"/>
            <w:tcBorders>
              <w:top w:val="outset" w:color="auto" w:sz="6" w:space="0"/>
              <w:left w:val="nil"/>
              <w:bottom w:val="outset" w:color="auto" w:sz="6" w:space="0"/>
              <w:right w:val="outset" w:color="auto" w:sz="6" w:space="0"/>
            </w:tcBorders>
            <w:vAlign w:val="top"/>
          </w:tcPr>
          <w:p>
            <w:pPr>
              <w:spacing w:after="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根据供投标人提供2021年1月1日至本项目响应文件提交截止时间止（以合同签订时间为准）由投标人完成的与本项目类似业绩情况，每提供一项得1分，满分3分。应同时提供中标（成交）公告（提供相关网站中标（成交）公告的下载网页并注明网址）、中标（成交）通知书复印件、采购合同文本复印件以及能够证明该业绩项目已经采购人验收合格的相关证明文件复印件或付款凭证证明材料，未同时提供以上佐证材料本项不得分。</w:t>
            </w:r>
          </w:p>
        </w:tc>
      </w:tr>
      <w:t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2.资质要求1</w:t>
            </w:r>
          </w:p>
        </w:tc>
        <w:tc>
          <w:tcPr>
            <w:tcW w:w="634"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3.00</w:t>
            </w:r>
          </w:p>
        </w:tc>
        <w:tc>
          <w:tcPr>
            <w:tcW w:w="7720"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具有合格有效的输变电工程专业承包一级及以上资质或具备电力工程施工总承包一级及以上，得3分；具有合格有效的输变电工程专业承包二级及以上资质或具备电力工程施工总承包二级及以上，得</w:t>
            </w: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eastAsia="zh-CN"/>
              </w:rPr>
              <w:t>，未提供不得分</w:t>
            </w:r>
            <w:r>
              <w:rPr>
                <w:rFonts w:hint="eastAsia" w:ascii="宋体" w:hAnsi="宋体" w:eastAsia="宋体" w:cs="宋体"/>
                <w:b w:val="0"/>
                <w:bCs w:val="0"/>
                <w:sz w:val="24"/>
                <w:szCs w:val="24"/>
              </w:rPr>
              <w:t>。</w:t>
            </w:r>
          </w:p>
        </w:tc>
      </w:tr>
      <w:t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3.资质要求2</w:t>
            </w:r>
          </w:p>
        </w:tc>
        <w:tc>
          <w:tcPr>
            <w:tcW w:w="634"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.00</w:t>
            </w:r>
          </w:p>
        </w:tc>
        <w:tc>
          <w:tcPr>
            <w:tcW w:w="7720"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sz w:val="24"/>
                <w:szCs w:val="24"/>
              </w:rPr>
              <w:t>具有有效的《施工企业安全生产许可证》,同时具备电力监管机构核发的承装（修、试）电力设施许可证三级或以上资质证书，且按时通过年检合格得</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eastAsia="zh-CN"/>
              </w:rPr>
              <w:t>，未提供不得分。</w:t>
            </w:r>
          </w:p>
        </w:tc>
      </w:tr>
      <w:tr>
        <w:trPr>
          <w:trHeight w:val="1673" w:hRule="atLeast"/>
        </w:trP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4、响应速度等情况</w:t>
            </w:r>
          </w:p>
        </w:tc>
        <w:tc>
          <w:tcPr>
            <w:tcW w:w="634"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3.00</w:t>
            </w:r>
          </w:p>
        </w:tc>
        <w:tc>
          <w:tcPr>
            <w:tcW w:w="7720"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根据各投标人提供的售后服务响应的速度（故障响应时间）以及能力由评委进行评议：承诺1小时内响应、2小时内上门维护的得3分；1小时以内响应，4小时内上门维护的得2分；1小时以内响应，6小时内上门维护的得1分；其余情况不得分。</w:t>
            </w:r>
          </w:p>
        </w:tc>
      </w:tr>
      <w:tr>
        <w:trPr>
          <w:trHeight w:val="1673" w:hRule="atLeast"/>
        </w:trPr>
        <w:tc>
          <w:tcPr>
            <w:tcW w:w="1028" w:type="dxa"/>
            <w:tcBorders>
              <w:top w:val="outset" w:color="auto" w:sz="6" w:space="0"/>
              <w:left w:val="outset" w:color="auto" w:sz="6" w:space="0"/>
              <w:bottom w:val="outset" w:color="auto" w:sz="6" w:space="0"/>
              <w:right w:val="outset" w:color="auto" w:sz="6" w:space="0"/>
            </w:tcBorders>
            <w:vAlign w:val="top"/>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5、售后服务方案</w:t>
            </w:r>
          </w:p>
        </w:tc>
        <w:tc>
          <w:tcPr>
            <w:tcW w:w="634" w:type="dxa"/>
            <w:tcBorders>
              <w:top w:val="outset" w:color="auto" w:sz="6" w:space="0"/>
              <w:left w:val="nil"/>
              <w:bottom w:val="outset" w:color="auto" w:sz="6" w:space="0"/>
              <w:right w:val="outset" w:color="auto" w:sz="6" w:space="0"/>
            </w:tcBorders>
            <w:vAlign w:val="top"/>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3.00</w:t>
            </w:r>
          </w:p>
        </w:tc>
        <w:tc>
          <w:tcPr>
            <w:tcW w:w="7720" w:type="dxa"/>
            <w:tcBorders>
              <w:top w:val="outset" w:color="auto" w:sz="6" w:space="0"/>
              <w:left w:val="nil"/>
              <w:bottom w:val="outset" w:color="auto" w:sz="6" w:space="0"/>
              <w:right w:val="outset" w:color="auto" w:sz="6" w:space="0"/>
            </w:tcBorders>
            <w:vAlign w:val="top"/>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根据投标人提供的售后服务方案（包括但不限于：维保期内的服务、响应计划、维保期后的服务等）由磋商小组进行评分：方案详实、完整、有针对性的得3分；方案较为详实或内容比较有针对性的得2.5分；方案部分详实或部分内容有针对性的得2分，未提供的本项不得分。</w:t>
            </w:r>
          </w:p>
        </w:tc>
      </w:tr>
    </w:tbl>
    <w:p>
      <w:pPr>
        <w:adjustRightInd/>
        <w:snapToGrid/>
        <w:spacing w:after="0"/>
        <w:rPr>
          <w:b/>
          <w:sz w:val="32"/>
          <w:szCs w:val="32"/>
        </w:rPr>
      </w:pPr>
    </w:p>
    <w:p>
      <w:pPr>
        <w:adjustRightInd/>
        <w:snapToGrid/>
        <w:spacing w:after="0"/>
        <w:rPr>
          <w:b/>
          <w:sz w:val="32"/>
          <w:szCs w:val="32"/>
        </w:rPr>
      </w:pPr>
      <w:r>
        <w:rPr>
          <w:b/>
          <w:sz w:val="32"/>
          <w:szCs w:val="32"/>
        </w:rPr>
        <w:br w:type="page"/>
      </w:r>
    </w:p>
    <w:p>
      <w:pPr>
        <w:jc w:val="center"/>
        <w:rPr>
          <w:sz w:val="24"/>
        </w:rPr>
      </w:pPr>
      <w:r>
        <w:rPr>
          <w:rFonts w:hint="eastAsia"/>
          <w:b/>
          <w:sz w:val="32"/>
          <w:szCs w:val="32"/>
        </w:rPr>
        <w:t>一、投  标  书</w:t>
      </w:r>
    </w:p>
    <w:p>
      <w:pPr>
        <w:rPr>
          <w:rFonts w:ascii="仿宋_GB2312" w:eastAsia="仿宋_GB2312"/>
          <w:sz w:val="24"/>
        </w:rPr>
      </w:pPr>
      <w:r>
        <w:rPr>
          <w:rFonts w:hint="eastAsia" w:ascii="仿宋_GB2312" w:eastAsia="仿宋_GB2312"/>
          <w:sz w:val="24"/>
        </w:rPr>
        <w:t>致：福建省肿瘤医院</w:t>
      </w:r>
    </w:p>
    <w:p>
      <w:pPr>
        <w:rPr>
          <w:rFonts w:ascii="仿宋_GB2312" w:eastAsia="仿宋_GB2312"/>
          <w:sz w:val="24"/>
        </w:rPr>
      </w:pPr>
      <w:r>
        <w:rPr>
          <w:rFonts w:hint="eastAsia" w:ascii="仿宋_GB2312" w:eastAsia="仿宋_GB2312"/>
          <w:sz w:val="24"/>
        </w:rPr>
        <w:t>1、根据你方</w:t>
      </w:r>
      <w:r>
        <w:rPr>
          <w:rFonts w:hint="eastAsia" w:ascii="仿宋_GB2312" w:eastAsia="仿宋_GB2312"/>
          <w:sz w:val="24"/>
          <w:u w:val="single"/>
        </w:rPr>
        <w:t xml:space="preserve">                                     </w:t>
      </w:r>
      <w:r>
        <w:rPr>
          <w:rFonts w:hint="eastAsia" w:ascii="仿宋_GB2312" w:eastAsia="仿宋_GB2312"/>
          <w:sz w:val="24"/>
        </w:rPr>
        <w:t>项目的投标须知、招标文件等内容，遵照《中华人民共和国招标投标法》等有关规定，经踏勘项目现场和研究上述招标文件的投标须知、合同条款、图纸、工程建设标准和工程量清单及其他有关文件后，我方愿以人民币（大写）</w:t>
      </w:r>
      <w:r>
        <w:rPr>
          <w:rFonts w:hint="eastAsia" w:ascii="仿宋_GB2312" w:eastAsia="仿宋_GB2312"/>
          <w:b/>
          <w:sz w:val="24"/>
          <w:u w:val="single"/>
        </w:rPr>
        <w:t xml:space="preserve">：      </w:t>
      </w:r>
      <w:r>
        <w:rPr>
          <w:rFonts w:hint="eastAsia" w:ascii="仿宋_GB2312" w:eastAsia="仿宋_GB2312"/>
          <w:sz w:val="24"/>
          <w:u w:val="single"/>
        </w:rPr>
        <w:t xml:space="preserve">  （小写：           ）</w:t>
      </w:r>
      <w:r>
        <w:rPr>
          <w:rFonts w:hint="eastAsia" w:ascii="仿宋_GB2312" w:eastAsia="仿宋_GB2312"/>
          <w:sz w:val="24"/>
        </w:rPr>
        <w:t>的投标报价并按上述图纸、合同条款、建设标准要求承包上述项目，并承担任何质量缺陷保修责任。</w:t>
      </w:r>
    </w:p>
    <w:p>
      <w:pPr>
        <w:ind w:firstLine="456" w:firstLineChars="190"/>
        <w:rPr>
          <w:rFonts w:ascii="仿宋_GB2312" w:eastAsia="仿宋_GB2312"/>
          <w:sz w:val="24"/>
        </w:rPr>
      </w:pPr>
      <w:r>
        <w:rPr>
          <w:rFonts w:hint="eastAsia" w:ascii="仿宋_GB2312" w:eastAsia="仿宋_GB2312"/>
          <w:sz w:val="24"/>
        </w:rPr>
        <w:t>2、我方已详细审核全部招标文件及有关附件。</w:t>
      </w:r>
    </w:p>
    <w:p>
      <w:pPr>
        <w:ind w:firstLine="456" w:firstLineChars="190"/>
        <w:rPr>
          <w:rFonts w:ascii="仿宋_GB2312" w:eastAsia="仿宋_GB2312"/>
          <w:sz w:val="24"/>
        </w:rPr>
      </w:pPr>
      <w:r>
        <w:rPr>
          <w:rFonts w:hint="eastAsia" w:ascii="仿宋_GB2312" w:eastAsia="仿宋_GB2312"/>
          <w:sz w:val="24"/>
        </w:rPr>
        <w:t>3、一旦我方中标，我方保证质量达到</w:t>
      </w:r>
      <w:r>
        <w:rPr>
          <w:rFonts w:hint="eastAsia" w:ascii="仿宋_GB2312" w:eastAsia="仿宋_GB2312"/>
          <w:b/>
          <w:sz w:val="24"/>
          <w:u w:val="single"/>
        </w:rPr>
        <w:t>投标须知、投标文件等规定</w:t>
      </w:r>
      <w:r>
        <w:rPr>
          <w:rFonts w:hint="eastAsia" w:ascii="仿宋_GB2312" w:eastAsia="仿宋_GB2312"/>
          <w:sz w:val="24"/>
        </w:rPr>
        <w:t>标准。</w:t>
      </w:r>
    </w:p>
    <w:p>
      <w:pPr>
        <w:ind w:firstLine="456" w:firstLineChars="190"/>
        <w:rPr>
          <w:rFonts w:ascii="仿宋_GB2312" w:eastAsia="仿宋_GB2312"/>
          <w:sz w:val="24"/>
        </w:rPr>
      </w:pPr>
      <w:r>
        <w:rPr>
          <w:rFonts w:hint="eastAsia" w:ascii="仿宋_GB2312" w:eastAsia="仿宋_GB2312"/>
          <w:sz w:val="24"/>
        </w:rPr>
        <w:t>4、我方同意所提交的投标文件在招标文件的投标须知中规定的投标有效期内有效，在此期间内如果中标，我方将受此约束。</w:t>
      </w:r>
    </w:p>
    <w:p>
      <w:pPr>
        <w:ind w:firstLine="426"/>
        <w:rPr>
          <w:rFonts w:ascii="仿宋_GB2312" w:eastAsia="仿宋_GB2312"/>
          <w:sz w:val="24"/>
        </w:rPr>
      </w:pPr>
      <w:r>
        <w:rPr>
          <w:rFonts w:hint="eastAsia" w:ascii="仿宋_GB2312" w:eastAsia="仿宋_GB2312"/>
          <w:sz w:val="24"/>
        </w:rPr>
        <w:t>5、除非另外达成协议并生效，你方的中标通知书和本投标文件将成为约束双方的合同文件的组成部分。</w:t>
      </w:r>
    </w:p>
    <w:p>
      <w:pPr>
        <w:ind w:firstLine="480" w:firstLineChars="200"/>
        <w:rPr>
          <w:rFonts w:ascii="仿宋_GB2312" w:eastAsia="仿宋_GB2312"/>
          <w:sz w:val="24"/>
        </w:rPr>
      </w:pPr>
      <w:r>
        <w:rPr>
          <w:rFonts w:hint="eastAsia" w:ascii="仿宋_GB2312" w:eastAsia="仿宋_GB2312"/>
          <w:sz w:val="24"/>
        </w:rPr>
        <w:t>附件：报价清单</w:t>
      </w:r>
    </w:p>
    <w:p>
      <w:pPr>
        <w:ind w:firstLine="2760" w:firstLineChars="1150"/>
        <w:rPr>
          <w:rFonts w:ascii="仿宋_GB2312" w:eastAsia="仿宋_GB2312"/>
          <w:sz w:val="24"/>
        </w:rPr>
      </w:pPr>
      <w:r>
        <w:rPr>
          <w:rFonts w:hint="eastAsia" w:ascii="仿宋_GB2312" w:eastAsia="仿宋_GB2312"/>
          <w:sz w:val="24"/>
        </w:rPr>
        <w:t xml:space="preserve">投标人（盖章）： </w:t>
      </w:r>
    </w:p>
    <w:p>
      <w:pPr>
        <w:ind w:firstLine="2760" w:firstLineChars="1150"/>
        <w:rPr>
          <w:rFonts w:ascii="仿宋_GB2312" w:eastAsia="仿宋_GB2312"/>
          <w:sz w:val="24"/>
        </w:rPr>
      </w:pPr>
      <w:r>
        <w:rPr>
          <w:rFonts w:hint="eastAsia" w:ascii="仿宋_GB2312" w:eastAsia="仿宋_GB2312"/>
          <w:sz w:val="24"/>
        </w:rPr>
        <w:t xml:space="preserve">单位地址： </w:t>
      </w:r>
    </w:p>
    <w:p>
      <w:pPr>
        <w:ind w:firstLine="2760" w:firstLineChars="1150"/>
        <w:rPr>
          <w:rFonts w:ascii="仿宋_GB2312" w:eastAsia="仿宋_GB2312"/>
          <w:sz w:val="24"/>
        </w:rPr>
      </w:pPr>
      <w:r>
        <w:rPr>
          <w:rFonts w:hint="eastAsia" w:ascii="仿宋_GB2312" w:eastAsia="仿宋_GB2312"/>
          <w:sz w:val="24"/>
        </w:rPr>
        <w:t>法定代表人（签字或盖章）：</w:t>
      </w:r>
    </w:p>
    <w:p>
      <w:pPr>
        <w:ind w:firstLine="2760" w:firstLineChars="1150"/>
        <w:rPr>
          <w:rFonts w:ascii="仿宋_GB2312" w:eastAsia="仿宋_GB2312"/>
          <w:sz w:val="24"/>
        </w:rPr>
      </w:pPr>
      <w:r>
        <w:rPr>
          <w:rFonts w:hint="eastAsia" w:ascii="仿宋_GB2312" w:eastAsia="仿宋_GB2312"/>
          <w:sz w:val="24"/>
        </w:rPr>
        <w:t xml:space="preserve">邮政编码：         电话：       传真：  </w:t>
      </w:r>
    </w:p>
    <w:p>
      <w:pPr>
        <w:ind w:firstLine="2760" w:firstLineChars="1150"/>
        <w:rPr>
          <w:rFonts w:ascii="仿宋_GB2312" w:eastAsia="仿宋_GB2312"/>
          <w:sz w:val="24"/>
        </w:rPr>
      </w:pPr>
      <w:r>
        <w:rPr>
          <w:rFonts w:hint="eastAsia" w:ascii="仿宋_GB2312" w:eastAsia="仿宋_GB2312"/>
          <w:sz w:val="24"/>
        </w:rPr>
        <w:t xml:space="preserve">开户银行名称： </w:t>
      </w:r>
    </w:p>
    <w:p>
      <w:pPr>
        <w:ind w:firstLine="2760" w:firstLineChars="1150"/>
        <w:rPr>
          <w:rFonts w:ascii="仿宋_GB2312" w:eastAsia="仿宋_GB2312"/>
          <w:sz w:val="24"/>
        </w:rPr>
      </w:pPr>
      <w:r>
        <w:rPr>
          <w:rFonts w:hint="eastAsia" w:ascii="仿宋_GB2312" w:eastAsia="仿宋_GB2312"/>
          <w:sz w:val="24"/>
        </w:rPr>
        <w:t xml:space="preserve">开户银行帐号： </w:t>
      </w:r>
    </w:p>
    <w:p>
      <w:pPr>
        <w:ind w:left="2100" w:leftChars="0" w:firstLine="696" w:firstLineChars="290"/>
        <w:rPr>
          <w:rFonts w:ascii="仿宋_GB2312" w:eastAsia="仿宋_GB2312"/>
          <w:sz w:val="24"/>
        </w:rPr>
      </w:pPr>
      <w:r>
        <w:rPr>
          <w:rFonts w:hint="eastAsia" w:ascii="仿宋_GB2312" w:eastAsia="仿宋_GB2312"/>
          <w:sz w:val="24"/>
        </w:rPr>
        <w:t xml:space="preserve">开户银行地址： </w:t>
      </w:r>
    </w:p>
    <w:p>
      <w:pPr>
        <w:ind w:firstLine="2760" w:firstLineChars="1150"/>
        <w:rPr>
          <w:rFonts w:ascii="仿宋_GB2312" w:eastAsia="仿宋_GB2312"/>
          <w:sz w:val="24"/>
        </w:rPr>
      </w:pPr>
      <w:r>
        <w:rPr>
          <w:rFonts w:hint="eastAsia" w:ascii="仿宋_GB2312" w:eastAsia="仿宋_GB2312"/>
          <w:sz w:val="24"/>
        </w:rPr>
        <w:t xml:space="preserve">开户银行电话： </w:t>
      </w:r>
    </w:p>
    <w:p>
      <w:pPr>
        <w:ind w:firstLine="600"/>
        <w:rPr>
          <w:rFonts w:ascii="仿宋_GB2312" w:eastAsia="仿宋_GB2312"/>
          <w:sz w:val="24"/>
        </w:rPr>
      </w:pPr>
      <w:r>
        <w:rPr>
          <w:rFonts w:hint="eastAsia" w:ascii="仿宋_GB2312" w:eastAsia="仿宋_GB2312"/>
          <w:sz w:val="24"/>
        </w:rPr>
        <w:t xml:space="preserve">                       </w:t>
      </w:r>
    </w:p>
    <w:p>
      <w:pPr>
        <w:ind w:firstLine="5160" w:firstLineChars="2150"/>
        <w:rPr>
          <w:rFonts w:ascii="仿宋_GB2312" w:eastAsia="仿宋_GB2312"/>
          <w:sz w:val="24"/>
        </w:rPr>
      </w:pPr>
      <w:r>
        <w:rPr>
          <w:rFonts w:hint="eastAsia" w:ascii="仿宋_GB2312" w:eastAsia="仿宋_GB2312"/>
          <w:sz w:val="24"/>
        </w:rPr>
        <w:t>日期：   年   月    日</w:t>
      </w:r>
    </w:p>
    <w:p>
      <w:pPr>
        <w:rPr>
          <w:rFonts w:ascii="仿宋_GB2312" w:eastAsia="仿宋_GB2312"/>
          <w:sz w:val="18"/>
          <w:szCs w:val="18"/>
          <w:u w:val="single"/>
        </w:rPr>
      </w:pPr>
    </w:p>
    <w:p>
      <w:pPr>
        <w:rPr>
          <w:rFonts w:ascii="仿宋_GB2312" w:eastAsia="仿宋_GB2312"/>
          <w:sz w:val="24"/>
        </w:rPr>
      </w:pPr>
    </w:p>
    <w:p>
      <w:pPr>
        <w:rPr>
          <w:rFonts w:ascii="仿宋_GB2312" w:eastAsia="仿宋_GB2312"/>
          <w:sz w:val="24"/>
        </w:rPr>
      </w:pPr>
    </w:p>
    <w:p>
      <w:pPr>
        <w:jc w:val="center"/>
        <w:rPr>
          <w:b/>
          <w:sz w:val="32"/>
          <w:szCs w:val="32"/>
        </w:rPr>
      </w:pPr>
      <w:r>
        <w:rPr>
          <w:rFonts w:hint="eastAsia"/>
          <w:b/>
          <w:sz w:val="32"/>
          <w:szCs w:val="32"/>
        </w:rPr>
        <w:t>二、投标委托代表人资格证明书</w:t>
      </w:r>
    </w:p>
    <w:p>
      <w:pPr>
        <w:rPr>
          <w:sz w:val="24"/>
        </w:rPr>
      </w:pPr>
    </w:p>
    <w:p>
      <w:pPr>
        <w:spacing w:line="360" w:lineRule="auto"/>
        <w:rPr>
          <w:rFonts w:ascii="仿宋_GB2312" w:eastAsia="仿宋_GB2312"/>
          <w:sz w:val="24"/>
          <w:u w:val="single"/>
        </w:rPr>
      </w:pPr>
      <w:r>
        <w:rPr>
          <w:rFonts w:hint="eastAsia" w:ascii="仿宋_GB2312" w:eastAsia="仿宋_GB2312"/>
          <w:sz w:val="24"/>
        </w:rPr>
        <w:t>单位名称：</w:t>
      </w:r>
      <w:r>
        <w:rPr>
          <w:rFonts w:hint="eastAsia" w:ascii="仿宋_GB2312" w:eastAsia="仿宋_GB2312"/>
          <w:sz w:val="24"/>
          <w:u w:val="single"/>
        </w:rPr>
        <w:t xml:space="preserve">                                  </w:t>
      </w:r>
    </w:p>
    <w:p>
      <w:pPr>
        <w:spacing w:line="360" w:lineRule="auto"/>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 xml:space="preserve">                               </w:t>
      </w:r>
    </w:p>
    <w:p>
      <w:pPr>
        <w:spacing w:line="360" w:lineRule="auto"/>
        <w:rPr>
          <w:rFonts w:ascii="仿宋_GB2312" w:eastAsia="仿宋_GB2312"/>
          <w:sz w:val="24"/>
        </w:rPr>
      </w:pPr>
      <w:r>
        <w:rPr>
          <w:rFonts w:hint="eastAsia" w:ascii="仿宋_GB2312" w:eastAsia="仿宋_GB2312"/>
          <w:sz w:val="24"/>
        </w:rPr>
        <w:t>姓名：</w:t>
      </w:r>
      <w:r>
        <w:rPr>
          <w:rFonts w:hint="eastAsia" w:ascii="仿宋_GB2312" w:eastAsia="仿宋_GB2312"/>
          <w:sz w:val="24"/>
          <w:u w:val="single"/>
        </w:rPr>
        <w:t xml:space="preserve">      </w:t>
      </w:r>
      <w:r>
        <w:rPr>
          <w:rFonts w:hint="eastAsia" w:ascii="仿宋_GB2312" w:eastAsia="仿宋_GB2312"/>
          <w:sz w:val="24"/>
        </w:rPr>
        <w:t xml:space="preserve">    性别：</w:t>
      </w:r>
      <w:r>
        <w:rPr>
          <w:rFonts w:hint="eastAsia" w:ascii="仿宋_GB2312" w:eastAsia="仿宋_GB2312"/>
          <w:sz w:val="24"/>
          <w:u w:val="single"/>
        </w:rPr>
        <w:t xml:space="preserve">     </w:t>
      </w:r>
      <w:r>
        <w:rPr>
          <w:rFonts w:hint="eastAsia" w:ascii="仿宋_GB2312" w:eastAsia="仿宋_GB2312"/>
          <w:sz w:val="24"/>
        </w:rPr>
        <w:t>年龄：</w:t>
      </w:r>
      <w:r>
        <w:rPr>
          <w:rFonts w:hint="eastAsia" w:ascii="仿宋_GB2312" w:eastAsia="仿宋_GB2312"/>
          <w:sz w:val="24"/>
          <w:u w:val="single"/>
        </w:rPr>
        <w:t xml:space="preserve">    </w:t>
      </w:r>
      <w:r>
        <w:rPr>
          <w:rFonts w:hint="eastAsia" w:ascii="仿宋_GB2312" w:eastAsia="仿宋_GB2312"/>
          <w:sz w:val="24"/>
        </w:rPr>
        <w:t xml:space="preserve">  职务：</w:t>
      </w:r>
      <w:r>
        <w:rPr>
          <w:rFonts w:hint="eastAsia" w:ascii="仿宋_GB2312" w:eastAsia="仿宋_GB2312"/>
          <w:sz w:val="24"/>
          <w:u w:val="single"/>
        </w:rPr>
        <w:t xml:space="preserve">    </w:t>
      </w:r>
      <w:r>
        <w:rPr>
          <w:rFonts w:hint="eastAsia" w:ascii="仿宋_GB2312" w:eastAsia="仿宋_GB2312"/>
          <w:sz w:val="24"/>
        </w:rPr>
        <w:t xml:space="preserve">   系委托代表人。为施工、竣工和保修</w:t>
      </w:r>
      <w:r>
        <w:rPr>
          <w:rFonts w:hint="eastAsia" w:ascii="仿宋_GB2312" w:eastAsia="仿宋_GB2312"/>
          <w:sz w:val="24"/>
          <w:u w:val="single"/>
        </w:rPr>
        <w:t xml:space="preserve">                                   </w:t>
      </w:r>
      <w:r>
        <w:rPr>
          <w:rFonts w:hint="eastAsia" w:ascii="仿宋_GB2312" w:eastAsia="仿宋_GB2312"/>
          <w:sz w:val="24"/>
        </w:rPr>
        <w:t>项目，签署上述项目的投标文件、进行合同谈判、签署合同和处理与之有关的一切事务。</w:t>
      </w:r>
    </w:p>
    <w:p>
      <w:pPr>
        <w:spacing w:line="360" w:lineRule="auto"/>
        <w:rPr>
          <w:rFonts w:ascii="仿宋_GB2312" w:eastAsia="仿宋_GB2312"/>
          <w:sz w:val="24"/>
        </w:rPr>
      </w:pPr>
    </w:p>
    <w:p>
      <w:pPr>
        <w:spacing w:line="360" w:lineRule="auto"/>
        <w:ind w:firstLine="4680" w:firstLineChars="1950"/>
        <w:rPr>
          <w:rFonts w:ascii="仿宋_GB2312" w:eastAsia="仿宋_GB2312"/>
          <w:sz w:val="24"/>
        </w:rPr>
      </w:pPr>
      <w:r>
        <w:rPr>
          <w:rFonts w:hint="eastAsia" w:ascii="仿宋_GB2312" w:eastAsia="仿宋_GB2312"/>
          <w:sz w:val="24"/>
        </w:rPr>
        <w:t xml:space="preserve">投标人（盖章）：   </w:t>
      </w:r>
    </w:p>
    <w:p>
      <w:pPr>
        <w:spacing w:line="360" w:lineRule="auto"/>
        <w:ind w:firstLine="4920" w:firstLineChars="2050"/>
        <w:rPr>
          <w:rFonts w:ascii="仿宋_GB2312" w:eastAsia="仿宋_GB2312"/>
          <w:sz w:val="24"/>
        </w:rPr>
      </w:pPr>
      <w:r>
        <w:rPr>
          <w:rFonts w:hint="eastAsia" w:ascii="仿宋_GB2312" w:eastAsia="仿宋_GB2312"/>
          <w:sz w:val="24"/>
        </w:rPr>
        <w:t>年   月  日</w:t>
      </w:r>
    </w:p>
    <w:p>
      <w:pPr>
        <w:jc w:val="center"/>
        <w:rPr>
          <w:b/>
          <w:sz w:val="32"/>
          <w:szCs w:val="32"/>
        </w:rPr>
      </w:pPr>
      <w:r>
        <w:rPr>
          <w:sz w:val="24"/>
        </w:rPr>
        <w:br w:type="page"/>
      </w:r>
      <w:r>
        <w:rPr>
          <w:rFonts w:hint="eastAsia"/>
          <w:b/>
          <w:sz w:val="32"/>
          <w:szCs w:val="32"/>
        </w:rPr>
        <w:t>三、投标承诺书</w:t>
      </w:r>
    </w:p>
    <w:p>
      <w:pPr>
        <w:tabs>
          <w:tab w:val="left" w:pos="5355"/>
        </w:tabs>
        <w:spacing w:before="100" w:beforeAutospacing="1" w:after="100" w:afterAutospacing="1" w:line="480" w:lineRule="auto"/>
        <w:ind w:firstLine="480" w:firstLineChars="200"/>
        <w:rPr>
          <w:rFonts w:hint="eastAsia" w:ascii="仿宋_GB2312" w:hAnsi="宋体" w:eastAsia="仿宋_GB2312" w:cs="宋体"/>
          <w:bCs/>
          <w:sz w:val="24"/>
        </w:rPr>
      </w:pPr>
      <w:r>
        <w:rPr>
          <w:rFonts w:hint="eastAsia" w:ascii="仿宋_GB2312" w:hAnsi="宋体" w:eastAsia="仿宋_GB2312" w:cs="宋体"/>
          <w:bCs/>
          <w:sz w:val="24"/>
        </w:rPr>
        <w:t>我司承诺对</w:t>
      </w:r>
      <w:r>
        <w:rPr>
          <w:rFonts w:hint="eastAsia" w:ascii="仿宋_GB2312" w:hAnsi="宋体" w:eastAsia="仿宋_GB2312" w:cs="宋体"/>
          <w:bCs/>
          <w:sz w:val="24"/>
          <w:u w:val="single"/>
        </w:rPr>
        <w:t xml:space="preserve">                              </w:t>
      </w:r>
      <w:r>
        <w:rPr>
          <w:rFonts w:hint="eastAsia" w:ascii="仿宋_GB2312" w:hAnsi="宋体" w:eastAsia="仿宋_GB2312" w:cs="宋体"/>
          <w:bCs/>
          <w:sz w:val="24"/>
        </w:rPr>
        <w:t>项目的院内公开招标最终确定的综合评定最优结果表示认可，并承诺不会对福建省肿瘤医院在本项目招标过程中的工作模式以及终止本项目招标的可能提出疑议。</w:t>
      </w:r>
    </w:p>
    <w:p>
      <w:pPr>
        <w:tabs>
          <w:tab w:val="left" w:pos="5355"/>
        </w:tabs>
        <w:spacing w:before="100" w:beforeAutospacing="1" w:after="100" w:afterAutospacing="1" w:line="480" w:lineRule="auto"/>
        <w:ind w:firstLine="480" w:firstLineChars="200"/>
        <w:rPr>
          <w:rFonts w:hint="eastAsia" w:ascii="仿宋_GB2312" w:hAnsi="宋体" w:eastAsia="仿宋_GB2312" w:cs="宋体"/>
          <w:sz w:val="24"/>
        </w:rPr>
      </w:pPr>
      <w:r>
        <w:rPr>
          <w:rFonts w:hint="eastAsia" w:ascii="仿宋_GB2312" w:hAnsi="宋体" w:eastAsia="仿宋_GB2312" w:cs="宋体"/>
          <w:bCs/>
          <w:sz w:val="24"/>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spacing w:before="100" w:beforeAutospacing="1" w:after="100" w:afterAutospacing="1" w:line="480" w:lineRule="auto"/>
        <w:ind w:firstLine="480" w:firstLineChars="200"/>
        <w:rPr>
          <w:rFonts w:hint="eastAsia" w:ascii="仿宋_GB2312" w:hAnsi="宋体" w:eastAsia="仿宋_GB2312" w:cs="宋体"/>
          <w:sz w:val="24"/>
        </w:rPr>
      </w:pPr>
      <w:r>
        <w:rPr>
          <w:rFonts w:hint="eastAsia" w:ascii="仿宋_GB2312" w:hAnsi="宋体" w:eastAsia="仿宋_GB2312" w:cs="宋体"/>
          <w:bCs/>
          <w:sz w:val="24"/>
        </w:rPr>
        <w:t>我司承诺福建省肿瘤医院在授予我司合同时有权利增加补充相关内容。</w:t>
      </w:r>
    </w:p>
    <w:p>
      <w:pPr>
        <w:tabs>
          <w:tab w:val="left" w:pos="5355"/>
        </w:tabs>
        <w:spacing w:before="100" w:beforeAutospacing="1" w:after="100" w:afterAutospacing="1" w:line="480" w:lineRule="auto"/>
        <w:rPr>
          <w:rFonts w:hint="eastAsia" w:ascii="仿宋_GB2312" w:hAnsi="宋体" w:eastAsia="仿宋_GB2312" w:cs="宋体"/>
          <w:sz w:val="24"/>
        </w:rPr>
      </w:pPr>
      <w:r>
        <w:rPr>
          <w:rFonts w:hint="eastAsia" w:ascii="仿宋_GB2312" w:hAnsi="宋体" w:eastAsia="仿宋_GB2312" w:cs="宋体"/>
          <w:sz w:val="24"/>
        </w:rPr>
        <w:t>投标人名称（全称并加公章）：</w:t>
      </w:r>
    </w:p>
    <w:p>
      <w:pPr>
        <w:tabs>
          <w:tab w:val="left" w:pos="5355"/>
        </w:tabs>
        <w:spacing w:before="100" w:beforeAutospacing="1" w:after="100" w:afterAutospacing="1" w:line="480" w:lineRule="auto"/>
        <w:rPr>
          <w:rFonts w:hint="eastAsia" w:ascii="仿宋_GB2312" w:hAnsi="宋体" w:eastAsia="仿宋_GB2312" w:cs="宋体"/>
          <w:sz w:val="24"/>
        </w:rPr>
      </w:pPr>
      <w:r>
        <w:rPr>
          <w:rFonts w:hint="eastAsia" w:ascii="仿宋_GB2312" w:hAnsi="宋体" w:eastAsia="仿宋_GB2312" w:cs="宋体"/>
          <w:sz w:val="24"/>
        </w:rPr>
        <w:t>投标人代表签字：</w:t>
      </w:r>
    </w:p>
    <w:p>
      <w:pPr>
        <w:tabs>
          <w:tab w:val="left" w:pos="5355"/>
        </w:tabs>
        <w:spacing w:before="100" w:beforeAutospacing="1" w:after="100" w:afterAutospacing="1" w:line="480" w:lineRule="auto"/>
        <w:rPr>
          <w:b/>
          <w:sz w:val="24"/>
        </w:rPr>
      </w:pPr>
      <w:r>
        <w:rPr>
          <w:rFonts w:hint="eastAsia" w:ascii="仿宋_GB2312" w:hAnsi="宋体" w:eastAsia="仿宋_GB2312" w:cs="宋体"/>
          <w:sz w:val="24"/>
        </w:rPr>
        <w:t>日期：     年    月   日</w:t>
      </w:r>
    </w:p>
    <w:p>
      <w:pPr>
        <w:adjustRightInd/>
        <w:snapToGrid/>
        <w:spacing w:after="0"/>
      </w:pPr>
      <w:r>
        <w:br w:type="page"/>
      </w:r>
    </w:p>
    <w:p>
      <w:pPr>
        <w:jc w:val="center"/>
        <w:rPr>
          <w:rFonts w:hint="eastAsia" w:ascii="宋体" w:hAnsi="宋体" w:eastAsia="宋体"/>
          <w:b/>
          <w:sz w:val="28"/>
          <w:szCs w:val="28"/>
        </w:rPr>
      </w:pPr>
      <w:r>
        <w:rPr>
          <w:rFonts w:ascii="宋体" w:hAnsi="宋体" w:eastAsia="宋体"/>
          <w:b/>
          <w:sz w:val="28"/>
          <w:szCs w:val="28"/>
        </w:rPr>
        <w:t>四、投标人资格承诺函</w:t>
      </w:r>
    </w:p>
    <w:p>
      <w:pPr>
        <w:pStyle w:val="28"/>
        <w:ind w:firstLine="480"/>
        <w:rPr>
          <w:rFonts w:ascii="宋体" w:hAnsi="宋体" w:eastAsia="宋体" w:cs="宋体"/>
          <w:bCs/>
        </w:rPr>
      </w:pPr>
      <w:r>
        <w:rPr>
          <w:rFonts w:ascii="宋体" w:hAnsi="宋体" w:eastAsia="宋体" w:cs="宋体"/>
          <w:bCs/>
        </w:rPr>
        <w:t>致：（招标人）</w:t>
      </w:r>
    </w:p>
    <w:p>
      <w:pPr>
        <w:pStyle w:val="28"/>
        <w:ind w:firstLine="960"/>
        <w:rPr>
          <w:rFonts w:ascii="宋体" w:hAnsi="宋体" w:eastAsia="宋体" w:cs="宋体"/>
          <w:bCs/>
        </w:rPr>
      </w:pPr>
      <w:r>
        <w:rPr>
          <w:rFonts w:ascii="宋体" w:hAnsi="宋体" w:eastAsia="宋体" w:cs="宋体"/>
          <w:bCs/>
        </w:rPr>
        <w:t>单位名称(自然人姓名):</w:t>
      </w:r>
    </w:p>
    <w:p>
      <w:pPr>
        <w:pStyle w:val="28"/>
        <w:ind w:firstLine="960"/>
        <w:rPr>
          <w:rFonts w:ascii="宋体" w:hAnsi="宋体" w:eastAsia="宋体" w:cs="宋体"/>
          <w:bCs/>
        </w:rPr>
      </w:pPr>
      <w:r>
        <w:rPr>
          <w:rFonts w:ascii="宋体" w:hAnsi="宋体" w:eastAsia="宋体" w:cs="宋体"/>
          <w:bCs/>
        </w:rPr>
        <w:t>统一社会信用代码(自然人身份证号码):</w:t>
      </w:r>
    </w:p>
    <w:p>
      <w:pPr>
        <w:pStyle w:val="28"/>
        <w:ind w:firstLine="960"/>
        <w:rPr>
          <w:rFonts w:ascii="宋体" w:hAnsi="宋体" w:eastAsia="宋体" w:cs="宋体"/>
          <w:bCs/>
        </w:rPr>
      </w:pPr>
      <w:r>
        <w:rPr>
          <w:rFonts w:ascii="宋体" w:hAnsi="宋体" w:eastAsia="宋体" w:cs="宋体"/>
          <w:bCs/>
        </w:rPr>
        <w:t>法定代表人(负责人):</w:t>
      </w:r>
    </w:p>
    <w:p>
      <w:pPr>
        <w:pStyle w:val="28"/>
        <w:ind w:firstLine="960"/>
        <w:rPr>
          <w:rFonts w:ascii="宋体" w:hAnsi="宋体" w:eastAsia="宋体" w:cs="宋体"/>
          <w:bCs/>
        </w:rPr>
      </w:pPr>
      <w:r>
        <w:rPr>
          <w:rFonts w:ascii="宋体" w:hAnsi="宋体" w:eastAsia="宋体" w:cs="宋体"/>
          <w:bCs/>
        </w:rPr>
        <w:t>联系地址和电话:</w:t>
      </w:r>
    </w:p>
    <w:p>
      <w:pPr>
        <w:pStyle w:val="28"/>
        <w:ind w:firstLine="480"/>
        <w:rPr>
          <w:rFonts w:ascii="宋体" w:hAnsi="宋体" w:eastAsia="宋体" w:cs="宋体"/>
          <w:bCs/>
        </w:rPr>
      </w:pPr>
      <w:r>
        <w:rPr>
          <w:rFonts w:ascii="宋体" w:hAnsi="宋体" w:eastAsia="宋体" w:cs="宋体"/>
          <w:bCs/>
        </w:rPr>
        <w:t>我单位(本人)自愿参加本次政府采购活动，严格遵守《中华人民共和国政府采购法》及相关法律法规，坚守公开、公平公正和诚实信用等原则，依法诚信经营，并郑重承诺:</w:t>
      </w:r>
    </w:p>
    <w:p>
      <w:pPr>
        <w:pStyle w:val="28"/>
        <w:ind w:firstLine="480"/>
        <w:rPr>
          <w:rFonts w:ascii="宋体" w:hAnsi="宋体" w:eastAsia="宋体" w:cs="宋体"/>
          <w:bCs/>
        </w:rPr>
      </w:pPr>
      <w:r>
        <w:rPr>
          <w:rFonts w:ascii="宋体" w:hAnsi="宋体" w:eastAsia="宋体" w:cs="宋体"/>
          <w:bCs/>
        </w:rPr>
        <w:t>一、我单位(本人)具备采购文件要求以及《中华人民共和国政府采购法》第二十二条规定的条件:</w:t>
      </w:r>
    </w:p>
    <w:p>
      <w:pPr>
        <w:pStyle w:val="28"/>
        <w:ind w:firstLine="960"/>
        <w:rPr>
          <w:rFonts w:ascii="宋体" w:hAnsi="宋体" w:eastAsia="宋体" w:cs="宋体"/>
          <w:bCs/>
        </w:rPr>
      </w:pPr>
      <w:r>
        <w:rPr>
          <w:rFonts w:ascii="宋体" w:hAnsi="宋体" w:eastAsia="宋体" w:cs="宋体"/>
          <w:bCs/>
        </w:rPr>
        <w:t>1.具有独立承担民事责任的能力;</w:t>
      </w:r>
    </w:p>
    <w:p>
      <w:pPr>
        <w:pStyle w:val="28"/>
        <w:ind w:firstLine="960"/>
        <w:rPr>
          <w:rFonts w:ascii="宋体" w:hAnsi="宋体" w:eastAsia="宋体" w:cs="宋体"/>
          <w:bCs/>
        </w:rPr>
      </w:pPr>
      <w:r>
        <w:rPr>
          <w:rFonts w:ascii="宋体" w:hAnsi="宋体" w:eastAsia="宋体" w:cs="宋体"/>
          <w:bCs/>
        </w:rPr>
        <w:t>2.具有良好的商业信誉和健全的财务会计制度;</w:t>
      </w:r>
    </w:p>
    <w:p>
      <w:pPr>
        <w:pStyle w:val="28"/>
        <w:ind w:firstLine="960"/>
        <w:rPr>
          <w:rFonts w:ascii="宋体" w:hAnsi="宋体" w:eastAsia="宋体" w:cs="宋体"/>
          <w:bCs/>
        </w:rPr>
      </w:pPr>
      <w:r>
        <w:rPr>
          <w:rFonts w:ascii="宋体" w:hAnsi="宋体" w:eastAsia="宋体" w:cs="宋体"/>
          <w:bCs/>
        </w:rPr>
        <w:t>3.具有履行合同所必需的设备和专业技术能力;</w:t>
      </w:r>
    </w:p>
    <w:p>
      <w:pPr>
        <w:pStyle w:val="28"/>
        <w:ind w:firstLine="960"/>
        <w:rPr>
          <w:rFonts w:ascii="宋体" w:hAnsi="宋体" w:eastAsia="宋体" w:cs="宋体"/>
          <w:bCs/>
        </w:rPr>
      </w:pPr>
      <w:r>
        <w:rPr>
          <w:rFonts w:ascii="宋体" w:hAnsi="宋体" w:eastAsia="宋体" w:cs="宋体"/>
          <w:bCs/>
        </w:rPr>
        <w:t>4.有依法缴纳税收和社会保障资金的良好记录;</w:t>
      </w:r>
    </w:p>
    <w:p>
      <w:pPr>
        <w:pStyle w:val="28"/>
        <w:ind w:firstLine="960"/>
        <w:rPr>
          <w:rFonts w:ascii="宋体" w:hAnsi="宋体" w:eastAsia="宋体" w:cs="宋体"/>
          <w:bCs/>
        </w:rPr>
      </w:pPr>
      <w:r>
        <w:rPr>
          <w:rFonts w:ascii="宋体" w:hAnsi="宋体" w:eastAsia="宋体" w:cs="宋体"/>
          <w:bCs/>
        </w:rPr>
        <w:t>5.参加政府采购活动前三年内，在经营活动中没有重大违法记录；</w:t>
      </w:r>
    </w:p>
    <w:p>
      <w:pPr>
        <w:pStyle w:val="28"/>
        <w:ind w:firstLine="960"/>
        <w:rPr>
          <w:rFonts w:ascii="宋体" w:hAnsi="宋体" w:eastAsia="宋体" w:cs="宋体"/>
          <w:bCs/>
        </w:rPr>
      </w:pPr>
      <w:r>
        <w:rPr>
          <w:rFonts w:ascii="宋体" w:hAnsi="宋体" w:eastAsia="宋体" w:cs="宋体"/>
          <w:bCs/>
        </w:rPr>
        <w:t>6.法律、行政法规规定的其他条件。</w:t>
      </w:r>
    </w:p>
    <w:p>
      <w:pPr>
        <w:pStyle w:val="28"/>
        <w:ind w:firstLine="480"/>
        <w:rPr>
          <w:rFonts w:ascii="宋体" w:hAnsi="宋体" w:eastAsia="宋体" w:cs="宋体"/>
          <w:bCs/>
        </w:rPr>
      </w:pPr>
      <w:r>
        <w:rPr>
          <w:rFonts w:ascii="宋体" w:hAnsi="宋体" w:eastAsia="宋体" w:cs="宋体"/>
          <w:bCs/>
        </w:rPr>
        <w:t>二、不存在违反《中华人民共和国政府采购法实施条例》第十八条规定的“单位负责人为同一人或者存在直接控股、管理关系的不同投标人，不得参加同一合同项下的招标活动。除单一来源招标项目外，为招标项目提供整体设计、规范编制或者项目管理、监理、检测等服务的投标人，不得再参加该招标项目的其他招标活动”情形。</w:t>
      </w:r>
    </w:p>
    <w:p>
      <w:pPr>
        <w:pStyle w:val="28"/>
        <w:ind w:firstLine="480"/>
        <w:rPr>
          <w:rFonts w:ascii="宋体" w:hAnsi="宋体" w:eastAsia="宋体" w:cs="宋体"/>
          <w:bCs/>
        </w:rPr>
      </w:pPr>
      <w:r>
        <w:rPr>
          <w:rFonts w:ascii="宋体" w:hAnsi="宋体" w:eastAsia="宋体" w:cs="宋体"/>
          <w:bC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8"/>
        <w:ind w:firstLine="480"/>
        <w:jc w:val="right"/>
        <w:rPr>
          <w:rFonts w:ascii="宋体" w:hAnsi="宋体" w:eastAsia="宋体" w:cs="宋体"/>
          <w:bCs/>
        </w:rPr>
      </w:pPr>
      <w:r>
        <w:rPr>
          <w:rFonts w:ascii="宋体" w:hAnsi="宋体" w:eastAsia="宋体" w:cs="宋体"/>
          <w:bCs/>
        </w:rPr>
        <w:t>投标人：名称(单位公章):</w:t>
      </w:r>
    </w:p>
    <w:p>
      <w:pPr>
        <w:pStyle w:val="28"/>
        <w:ind w:firstLine="480"/>
        <w:jc w:val="right"/>
        <w:rPr>
          <w:rFonts w:ascii="宋体" w:hAnsi="宋体" w:eastAsia="宋体" w:cs="宋体"/>
          <w:bCs/>
        </w:rPr>
      </w:pPr>
      <w:r>
        <w:rPr>
          <w:rFonts w:ascii="宋体" w:hAnsi="宋体" w:eastAsia="宋体" w:cs="宋体"/>
          <w:bCs/>
        </w:rPr>
        <w:t>日期：　　年　　月　　日</w:t>
      </w:r>
    </w:p>
    <w:p>
      <w:pPr>
        <w:pStyle w:val="28"/>
        <w:ind w:firstLine="480"/>
        <w:rPr>
          <w:rFonts w:ascii="宋体" w:hAnsi="宋体" w:eastAsia="宋体" w:cs="宋体"/>
          <w:bCs/>
        </w:rPr>
      </w:pPr>
      <w:r>
        <w:rPr>
          <w:rFonts w:ascii="宋体" w:hAnsi="宋体" w:eastAsia="宋体" w:cs="宋体"/>
          <w:bCs/>
        </w:rPr>
        <w:t>注：</w:t>
      </w:r>
    </w:p>
    <w:p>
      <w:pPr>
        <w:pStyle w:val="28"/>
        <w:ind w:firstLine="960"/>
        <w:rPr>
          <w:rFonts w:ascii="宋体" w:hAnsi="宋体" w:eastAsia="宋体" w:cs="宋体"/>
          <w:bCs/>
        </w:rPr>
      </w:pPr>
      <w:r>
        <w:rPr>
          <w:rFonts w:ascii="宋体" w:hAnsi="宋体" w:eastAsia="宋体" w:cs="宋体"/>
          <w:bCs/>
        </w:rPr>
        <w:t>1.我单位(本人)专指参加政府采购活动的投标人(含自然人)；</w:t>
      </w:r>
    </w:p>
    <w:p>
      <w:pPr>
        <w:pStyle w:val="28"/>
        <w:ind w:firstLine="960"/>
        <w:rPr>
          <w:rFonts w:ascii="宋体" w:hAnsi="宋体" w:eastAsia="宋体" w:cs="宋体"/>
          <w:bCs/>
        </w:rPr>
      </w:pPr>
      <w:r>
        <w:rPr>
          <w:rFonts w:ascii="宋体" w:hAnsi="宋体" w:eastAsia="宋体" w:cs="宋体"/>
          <w:bCs/>
        </w:rPr>
        <w:t>2.资格承诺的投标人应在投标(响应)文件中按此模板提供承诺函，否则，视为未按照招标文件规定提交投标人的资格及资信文件，按资格审查不通过处理。</w:t>
      </w:r>
    </w:p>
    <w:p/>
    <w:sectPr>
      <w:footerReference r:id="rId4" w:type="default"/>
      <w:pgSz w:w="11906" w:h="16838"/>
      <w:pgMar w:top="1440" w:right="1800" w:bottom="1440" w:left="1800" w:header="708" w:footer="708" w:gutter="0"/>
      <w:cols w:space="72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20B0603030804020204"/>
    <w:charset w:val="00"/>
    <w:family w:val="auto"/>
    <w:pitch w:val="default"/>
    <w:sig w:usb0="E7006EFF" w:usb1="D200FDFF" w:usb2="0A246029" w:usb3="0400200C" w:csb0="600001FF" w:csb1="DFFF0000"/>
  </w:font>
  <w:font w:name="Calibri">
    <w:panose1 w:val="020F0502020204030204"/>
    <w:charset w:val="00"/>
    <w:family w:val="auto"/>
    <w:pitch w:val="default"/>
    <w:sig w:usb0="E4002EFF" w:usb1="C000247B" w:usb2="00000009" w:usb3="00000000" w:csb0="200001FF" w:csb1="00000000"/>
  </w:font>
  <w:font w:name="方正书宋_GBK">
    <w:altName w:val="宋体"/>
    <w:panose1 w:val="02000000000000000000"/>
    <w:charset w:val="86"/>
    <w:family w:val="auto"/>
    <w:pitch w:val="default"/>
    <w:sig w:usb0="00000001" w:usb1="08000000" w:usb2="00000000" w:usb3="00000000" w:csb0="00040000" w:csb1="00000000"/>
  </w:font>
  <w:font w:name="方正黑体_GBK">
    <w:altName w:val="黑体"/>
    <w:panose1 w:val="02000000000000000000"/>
    <w:charset w:val="86"/>
    <w:family w:val="auto"/>
    <w:pitch w:val="default"/>
    <w:sig w:usb0="00000001" w:usb1="08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Noto Sans Syriac Eastern">
    <w:altName w:val="宋体"/>
    <w:panose1 w:val="02040503050306020203"/>
    <w:charset w:val="86"/>
    <w:family w:val="auto"/>
    <w:pitch w:val="default"/>
    <w:sig w:usb0="00000000" w:usb1="00000000" w:usb2="00000080" w:usb3="00000000" w:csb0="203E0161" w:csb1="D7FF0000"/>
  </w:font>
  <w:font w:name="方正仿宋简体">
    <w:altName w:val="Arial Unicode MS"/>
    <w:panose1 w:val="00000000000000000000"/>
    <w:charset w:val="86"/>
    <w:family w:val="auto"/>
    <w:pitch w:val="default"/>
    <w:sig w:usb0="00000000" w:usb1="00000000" w:usb2="00000010" w:usb3="00000000" w:csb0="00040000" w:csb1="00000000"/>
  </w:font>
  <w:font w:name="方正仿宋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微米黑">
    <w:altName w:val="黑体"/>
    <w:panose1 w:val="020B0606030804020204"/>
    <w:charset w:val="86"/>
    <w:family w:val="auto"/>
    <w:pitch w:val="default"/>
    <w:sig w:usb0="E10002EF" w:usb1="6BDFFCFB" w:usb2="00800036" w:usb3="00000000" w:csb0="603E01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r>
      <w:rPr>
        <w:rFonts w:ascii="Tahoma" w:hAnsi="Tahoma" w:eastAsia="微软雅黑" w:cs="Times New Roman"/>
        <w:kern w:val="0"/>
        <w:sz w:val="1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4"/>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232748097">
    <w:nsid w:val="C0AFD241"/>
    <w:multiLevelType w:val="singleLevel"/>
    <w:tmpl w:val="C0AFD241"/>
    <w:lvl w:ilvl="0" w:tentative="1">
      <w:start w:val="1"/>
      <w:numFmt w:val="decimal"/>
      <w:lvlText w:val="%1."/>
      <w:lvlJc w:val="left"/>
      <w:pPr>
        <w:tabs>
          <w:tab w:val="left" w:pos="420"/>
        </w:tabs>
        <w:ind w:left="845" w:hanging="425"/>
      </w:pPr>
      <w:rPr>
        <w:rFonts w:hint="default"/>
      </w:rPr>
    </w:lvl>
  </w:abstractNum>
  <w:abstractNum w:abstractNumId="3263560335">
    <w:nsid w:val="C285FA8F"/>
    <w:multiLevelType w:val="singleLevel"/>
    <w:tmpl w:val="C285FA8F"/>
    <w:lvl w:ilvl="0" w:tentative="1">
      <w:start w:val="1"/>
      <w:numFmt w:val="decimal"/>
      <w:lvlText w:val="%1."/>
      <w:lvlJc w:val="left"/>
      <w:pPr>
        <w:tabs>
          <w:tab w:val="left" w:pos="420"/>
        </w:tabs>
        <w:ind w:left="845" w:hanging="425"/>
      </w:pPr>
      <w:rPr>
        <w:rFonts w:hint="default"/>
      </w:rPr>
    </w:lvl>
  </w:abstractNum>
  <w:abstractNum w:abstractNumId="3938595135">
    <w:nsid w:val="EAC2313F"/>
    <w:multiLevelType w:val="singleLevel"/>
    <w:tmpl w:val="EAC2313F"/>
    <w:lvl w:ilvl="0" w:tentative="1">
      <w:start w:val="1"/>
      <w:numFmt w:val="decimal"/>
      <w:lvlText w:val="%1."/>
      <w:lvlJc w:val="left"/>
      <w:pPr>
        <w:tabs>
          <w:tab w:val="left" w:pos="420"/>
        </w:tabs>
        <w:ind w:left="845" w:hanging="425"/>
      </w:pPr>
      <w:rPr>
        <w:rFonts w:hint="default"/>
      </w:rPr>
    </w:lvl>
  </w:abstractNum>
  <w:abstractNum w:abstractNumId="4259432594">
    <w:nsid w:val="FDE1C892"/>
    <w:multiLevelType w:val="singleLevel"/>
    <w:tmpl w:val="FDE1C892"/>
    <w:lvl w:ilvl="0" w:tentative="1">
      <w:start w:val="1"/>
      <w:numFmt w:val="decimal"/>
      <w:lvlText w:val="%1."/>
      <w:lvlJc w:val="left"/>
      <w:pPr>
        <w:tabs>
          <w:tab w:val="left" w:pos="420"/>
        </w:tabs>
        <w:ind w:left="845" w:hanging="425"/>
      </w:pPr>
      <w:rPr>
        <w:rFonts w:hint="default"/>
      </w:rPr>
    </w:lvl>
  </w:abstractNum>
  <w:abstractNum w:abstractNumId="442648873">
    <w:nsid w:val="1A624929"/>
    <w:multiLevelType w:val="multilevel"/>
    <w:tmpl w:val="1A624929"/>
    <w:lvl w:ilvl="0" w:tentative="1">
      <w:start w:val="1"/>
      <w:numFmt w:val="decimal"/>
      <w:lvlText w:val="%1."/>
      <w:lvlJc w:val="left"/>
      <w:pPr>
        <w:ind w:left="995" w:hanging="440"/>
      </w:pPr>
    </w:lvl>
    <w:lvl w:ilvl="1" w:tentative="1">
      <w:start w:val="1"/>
      <w:numFmt w:val="lowerLetter"/>
      <w:lvlText w:val="%2)"/>
      <w:lvlJc w:val="left"/>
      <w:pPr>
        <w:ind w:left="1435" w:hanging="440"/>
      </w:pPr>
    </w:lvl>
    <w:lvl w:ilvl="2" w:tentative="1">
      <w:start w:val="1"/>
      <w:numFmt w:val="lowerRoman"/>
      <w:lvlText w:val="%3."/>
      <w:lvlJc w:val="right"/>
      <w:pPr>
        <w:ind w:left="1875" w:hanging="440"/>
      </w:pPr>
    </w:lvl>
    <w:lvl w:ilvl="3" w:tentative="1">
      <w:start w:val="1"/>
      <w:numFmt w:val="decimal"/>
      <w:lvlText w:val="%4."/>
      <w:lvlJc w:val="left"/>
      <w:pPr>
        <w:ind w:left="2315" w:hanging="440"/>
      </w:pPr>
    </w:lvl>
    <w:lvl w:ilvl="4" w:tentative="1">
      <w:start w:val="1"/>
      <w:numFmt w:val="lowerLetter"/>
      <w:lvlText w:val="%5)"/>
      <w:lvlJc w:val="left"/>
      <w:pPr>
        <w:ind w:left="2755" w:hanging="440"/>
      </w:pPr>
    </w:lvl>
    <w:lvl w:ilvl="5" w:tentative="1">
      <w:start w:val="1"/>
      <w:numFmt w:val="lowerRoman"/>
      <w:lvlText w:val="%6."/>
      <w:lvlJc w:val="right"/>
      <w:pPr>
        <w:ind w:left="3195" w:hanging="440"/>
      </w:pPr>
    </w:lvl>
    <w:lvl w:ilvl="6" w:tentative="1">
      <w:start w:val="1"/>
      <w:numFmt w:val="decimal"/>
      <w:lvlText w:val="%7."/>
      <w:lvlJc w:val="left"/>
      <w:pPr>
        <w:ind w:left="3635" w:hanging="440"/>
      </w:pPr>
    </w:lvl>
    <w:lvl w:ilvl="7" w:tentative="1">
      <w:start w:val="1"/>
      <w:numFmt w:val="lowerLetter"/>
      <w:lvlText w:val="%8)"/>
      <w:lvlJc w:val="left"/>
      <w:pPr>
        <w:ind w:left="4075" w:hanging="440"/>
      </w:pPr>
    </w:lvl>
    <w:lvl w:ilvl="8" w:tentative="1">
      <w:start w:val="1"/>
      <w:numFmt w:val="lowerRoman"/>
      <w:lvlText w:val="%9."/>
      <w:lvlJc w:val="right"/>
      <w:pPr>
        <w:ind w:left="4515" w:hanging="440"/>
      </w:pPr>
    </w:lvl>
  </w:abstractNum>
  <w:num w:numId="1">
    <w:abstractNumId w:val="442648873"/>
  </w:num>
  <w:num w:numId="2">
    <w:abstractNumId w:val="3232748097"/>
  </w:num>
  <w:num w:numId="3">
    <w:abstractNumId w:val="3938595135"/>
  </w:num>
  <w:num w:numId="4">
    <w:abstractNumId w:val="4259432594"/>
  </w:num>
  <w:num w:numId="5">
    <w:abstractNumId w:val="32635603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1"/>
    <w:basedOn w:val="1"/>
    <w:link w:val="30"/>
    <w:qFormat/>
    <w:uiPriority w:val="9"/>
    <w:pPr>
      <w:keepNext/>
      <w:keepLines/>
      <w:spacing w:before="480" w:after="80"/>
      <w:outlineLvl w:val="0"/>
    </w:pPr>
    <w:rPr>
      <w:rFonts w:ascii="Cambria" w:hAnsi="Cambria" w:eastAsia="宋体" w:cs="黑体"/>
      <w:color w:val="365F90"/>
      <w:sz w:val="48"/>
      <w:szCs w:val="48"/>
    </w:rPr>
  </w:style>
  <w:style w:type="paragraph" w:styleId="3">
    <w:name w:val="heading 2"/>
    <w:basedOn w:val="1"/>
    <w:link w:val="31"/>
    <w:semiHidden/>
    <w:unhideWhenUsed/>
    <w:qFormat/>
    <w:uiPriority w:val="9"/>
    <w:pPr>
      <w:keepNext/>
      <w:keepLines/>
      <w:spacing w:before="160" w:after="80"/>
      <w:outlineLvl w:val="1"/>
    </w:pPr>
    <w:rPr>
      <w:rFonts w:ascii="Cambria" w:hAnsi="Cambria" w:eastAsia="宋体" w:cs="黑体"/>
      <w:color w:val="365F90"/>
      <w:sz w:val="40"/>
      <w:szCs w:val="40"/>
    </w:rPr>
  </w:style>
  <w:style w:type="paragraph" w:styleId="4">
    <w:name w:val="heading 3"/>
    <w:basedOn w:val="1"/>
    <w:link w:val="32"/>
    <w:semiHidden/>
    <w:unhideWhenUsed/>
    <w:qFormat/>
    <w:uiPriority w:val="9"/>
    <w:pPr>
      <w:keepNext/>
      <w:keepLines/>
      <w:spacing w:before="160" w:after="80"/>
      <w:outlineLvl w:val="2"/>
    </w:pPr>
    <w:rPr>
      <w:rFonts w:ascii="Cambria" w:hAnsi="Cambria" w:eastAsia="宋体" w:cs="黑体"/>
      <w:color w:val="365F90"/>
      <w:sz w:val="32"/>
      <w:szCs w:val="32"/>
    </w:rPr>
  </w:style>
  <w:style w:type="paragraph" w:styleId="5">
    <w:name w:val="heading 4"/>
    <w:basedOn w:val="1"/>
    <w:link w:val="33"/>
    <w:semiHidden/>
    <w:unhideWhenUsed/>
    <w:qFormat/>
    <w:uiPriority w:val="9"/>
    <w:pPr>
      <w:keepNext/>
      <w:keepLines/>
      <w:spacing w:before="80" w:after="40"/>
      <w:outlineLvl w:val="3"/>
    </w:pPr>
    <w:rPr>
      <w:rFonts w:cs="黑体"/>
      <w:color w:val="365F90"/>
      <w:sz w:val="28"/>
      <w:szCs w:val="28"/>
    </w:rPr>
  </w:style>
  <w:style w:type="paragraph" w:styleId="6">
    <w:name w:val="heading 5"/>
    <w:basedOn w:val="1"/>
    <w:link w:val="34"/>
    <w:semiHidden/>
    <w:unhideWhenUsed/>
    <w:qFormat/>
    <w:uiPriority w:val="9"/>
    <w:pPr>
      <w:keepNext/>
      <w:keepLines/>
      <w:spacing w:before="80" w:after="40"/>
      <w:outlineLvl w:val="4"/>
    </w:pPr>
    <w:rPr>
      <w:rFonts w:cs="黑体"/>
      <w:color w:val="365F90"/>
      <w:sz w:val="24"/>
      <w:szCs w:val="24"/>
    </w:rPr>
  </w:style>
  <w:style w:type="paragraph" w:styleId="7">
    <w:name w:val="heading 6"/>
    <w:basedOn w:val="1"/>
    <w:link w:val="35"/>
    <w:semiHidden/>
    <w:unhideWhenUsed/>
    <w:qFormat/>
    <w:uiPriority w:val="9"/>
    <w:pPr>
      <w:keepNext/>
      <w:keepLines/>
      <w:spacing w:before="40"/>
      <w:outlineLvl w:val="5"/>
    </w:pPr>
    <w:rPr>
      <w:rFonts w:cs="黑体"/>
      <w:b/>
      <w:bCs/>
      <w:color w:val="365F90"/>
    </w:rPr>
  </w:style>
  <w:style w:type="paragraph" w:styleId="8">
    <w:name w:val="heading 7"/>
    <w:basedOn w:val="1"/>
    <w:link w:val="36"/>
    <w:semiHidden/>
    <w:unhideWhenUsed/>
    <w:qFormat/>
    <w:uiPriority w:val="9"/>
    <w:pPr>
      <w:keepNext/>
      <w:keepLines/>
      <w:spacing w:before="40"/>
      <w:outlineLvl w:val="6"/>
    </w:pPr>
    <w:rPr>
      <w:rFonts w:cs="黑体"/>
      <w:b/>
      <w:bCs/>
      <w:color w:val="565656"/>
    </w:rPr>
  </w:style>
  <w:style w:type="paragraph" w:styleId="9">
    <w:name w:val="heading 8"/>
    <w:basedOn w:val="1"/>
    <w:link w:val="37"/>
    <w:semiHidden/>
    <w:unhideWhenUsed/>
    <w:qFormat/>
    <w:uiPriority w:val="9"/>
    <w:pPr>
      <w:keepNext/>
      <w:keepLines/>
      <w:outlineLvl w:val="7"/>
    </w:pPr>
    <w:rPr>
      <w:rFonts w:cs="黑体"/>
      <w:color w:val="565656"/>
    </w:rPr>
  </w:style>
  <w:style w:type="paragraph" w:styleId="10">
    <w:name w:val="heading 9"/>
    <w:basedOn w:val="1"/>
    <w:link w:val="38"/>
    <w:semiHidden/>
    <w:unhideWhenUsed/>
    <w:qFormat/>
    <w:uiPriority w:val="9"/>
    <w:pPr>
      <w:keepNext/>
      <w:keepLines/>
      <w:outlineLvl w:val="8"/>
    </w:pPr>
    <w:rPr>
      <w:rFonts w:eastAsia="宋体" w:cs="黑体"/>
      <w:color w:val="565656"/>
    </w:rPr>
  </w:style>
  <w:style w:type="character" w:default="1" w:styleId="22">
    <w:name w:val="Default Paragraph Font"/>
    <w:semiHidden/>
    <w:unhideWhenUsed/>
    <w:qFormat/>
    <w:uiPriority w:val="1"/>
  </w:style>
  <w:style w:type="paragraph" w:styleId="11">
    <w:name w:val="Body Text"/>
    <w:basedOn w:val="1"/>
    <w:link w:val="49"/>
    <w:unhideWhenUsed/>
    <w:qFormat/>
    <w:uiPriority w:val="0"/>
    <w:pPr>
      <w:spacing w:after="120"/>
    </w:pPr>
  </w:style>
  <w:style w:type="paragraph" w:styleId="12">
    <w:name w:val="Body Text Indent"/>
    <w:basedOn w:val="1"/>
    <w:qFormat/>
    <w:uiPriority w:val="0"/>
    <w:pPr>
      <w:tabs>
        <w:tab w:val="left" w:pos="0"/>
        <w:tab w:val="left" w:pos="993"/>
        <w:tab w:val="left" w:pos="1134"/>
      </w:tabs>
      <w:spacing w:line="500" w:lineRule="exact"/>
      <w:ind w:firstLine="567"/>
      <w:jc w:val="both"/>
    </w:pPr>
    <w:rPr>
      <w:rFonts w:ascii="宋体"/>
      <w:sz w:val="28"/>
      <w:lang w:eastAsia="zh-CN"/>
    </w:rPr>
  </w:style>
  <w:style w:type="paragraph" w:styleId="13">
    <w:name w:val="Plain Text"/>
    <w:basedOn w:val="1"/>
    <w:link w:val="47"/>
    <w:unhideWhenUsed/>
    <w:qFormat/>
    <w:uiPriority w:val="99"/>
    <w:rPr>
      <w:rFonts w:ascii="宋体" w:hAnsi="Courier New" w:eastAsia="宋体" w:cs="Courier New"/>
      <w:kern w:val="2"/>
      <w:sz w:val="21"/>
      <w:szCs w:val="21"/>
    </w:rPr>
  </w:style>
  <w:style w:type="paragraph" w:styleId="14">
    <w:name w:val="footer"/>
    <w:basedOn w:val="1"/>
    <w:link w:val="46"/>
    <w:unhideWhenUsed/>
    <w:qFormat/>
    <w:uiPriority w:val="99"/>
    <w:pPr>
      <w:tabs>
        <w:tab w:val="center" w:pos="4153"/>
        <w:tab w:val="right" w:pos="8306"/>
      </w:tabs>
    </w:pPr>
    <w:rPr>
      <w:sz w:val="18"/>
      <w:szCs w:val="18"/>
    </w:rPr>
  </w:style>
  <w:style w:type="paragraph" w:styleId="15">
    <w:name w:val="Body Text First Indent 2"/>
    <w:basedOn w:val="12"/>
    <w:qFormat/>
    <w:uiPriority w:val="99"/>
    <w:pPr>
      <w:widowControl w:val="0"/>
      <w:adjustRightInd w:val="0"/>
      <w:spacing w:after="120" w:line="360" w:lineRule="atLeast"/>
      <w:ind w:left="420" w:leftChars="200" w:firstLine="420" w:firstLineChars="200"/>
    </w:pPr>
    <w:rPr>
      <w:rFonts w:ascii="Times New Roman"/>
      <w:sz w:val="20"/>
    </w:rPr>
  </w:style>
  <w:style w:type="paragraph" w:styleId="16">
    <w:name w:val="header"/>
    <w:basedOn w:val="1"/>
    <w:link w:val="45"/>
    <w:unhideWhenUsed/>
    <w:qFormat/>
    <w:uiPriority w:val="99"/>
    <w:pPr>
      <w:tabs>
        <w:tab w:val="center" w:pos="4153"/>
        <w:tab w:val="right" w:pos="8306"/>
      </w:tabs>
      <w:jc w:val="center"/>
    </w:pPr>
    <w:rPr>
      <w:sz w:val="18"/>
      <w:szCs w:val="18"/>
    </w:rPr>
  </w:style>
  <w:style w:type="paragraph" w:styleId="17">
    <w:name w:val="index heading"/>
    <w:basedOn w:val="1"/>
    <w:qFormat/>
    <w:uiPriority w:val="0"/>
    <w:pPr>
      <w:widowControl w:val="0"/>
      <w:adjustRightInd/>
      <w:snapToGrid/>
      <w:spacing w:after="0"/>
      <w:jc w:val="both"/>
    </w:pPr>
    <w:rPr>
      <w:rFonts w:ascii="Calibri" w:hAnsi="Calibri" w:eastAsia="宋体"/>
      <w:kern w:val="2"/>
      <w:sz w:val="21"/>
      <w:szCs w:val="21"/>
    </w:rPr>
  </w:style>
  <w:style w:type="paragraph" w:styleId="18">
    <w:name w:val="Subtitle"/>
    <w:basedOn w:val="1"/>
    <w:link w:val="40"/>
    <w:qFormat/>
    <w:uiPriority w:val="11"/>
    <w:pPr>
      <w:spacing w:after="160"/>
      <w:jc w:val="center"/>
    </w:pPr>
    <w:rPr>
      <w:rFonts w:ascii="Cambria" w:hAnsi="Cambria" w:eastAsia="宋体" w:cs="黑体"/>
      <w:color w:val="565656"/>
      <w:spacing w:val="15"/>
      <w:sz w:val="28"/>
      <w:szCs w:val="28"/>
    </w:rPr>
  </w:style>
  <w:style w:type="paragraph" w:styleId="19">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20">
    <w:name w:val="index 1"/>
    <w:basedOn w:val="1"/>
    <w:unhideWhenUsed/>
    <w:qFormat/>
    <w:uiPriority w:val="0"/>
  </w:style>
  <w:style w:type="paragraph" w:styleId="21">
    <w:name w:val="Title"/>
    <w:basedOn w:val="1"/>
    <w:link w:val="39"/>
    <w:qFormat/>
    <w:uiPriority w:val="10"/>
    <w:pPr>
      <w:spacing w:after="80"/>
      <w:contextualSpacing/>
      <w:jc w:val="center"/>
    </w:pPr>
    <w:rPr>
      <w:rFonts w:ascii="Cambria" w:hAnsi="Cambria" w:eastAsia="宋体" w:cs="黑体"/>
      <w:spacing w:val="-10"/>
      <w:kern w:val="28"/>
      <w:sz w:val="56"/>
      <w:szCs w:val="56"/>
    </w:rPr>
  </w:style>
  <w:style w:type="character" w:styleId="23">
    <w:name w:val="Strong"/>
    <w:basedOn w:val="22"/>
    <w:qFormat/>
    <w:uiPriority w:val="99"/>
    <w:rPr>
      <w:b/>
    </w:rPr>
  </w:style>
  <w:style w:type="paragraph" w:customStyle="1" w:styleId="24">
    <w:name w:val="Quote"/>
    <w:basedOn w:val="1"/>
    <w:link w:val="41"/>
    <w:qFormat/>
    <w:uiPriority w:val="29"/>
    <w:pPr>
      <w:spacing w:before="160" w:after="160"/>
      <w:jc w:val="center"/>
    </w:pPr>
    <w:rPr>
      <w:i/>
      <w:iCs/>
      <w:color w:val="3F3F3F"/>
    </w:rPr>
  </w:style>
  <w:style w:type="paragraph" w:customStyle="1" w:styleId="25">
    <w:name w:val="List Paragraph"/>
    <w:basedOn w:val="1"/>
    <w:qFormat/>
    <w:uiPriority w:val="99"/>
    <w:pPr>
      <w:ind w:left="720"/>
      <w:contextualSpacing/>
    </w:pPr>
  </w:style>
  <w:style w:type="paragraph" w:customStyle="1" w:styleId="26">
    <w:name w:val="Intense Quote"/>
    <w:basedOn w:val="1"/>
    <w:link w:val="43"/>
    <w:qFormat/>
    <w:uiPriority w:val="30"/>
    <w:pPr>
      <w:pBdr>
        <w:top w:val="single" w:color="366091" w:sz="4" w:space="10"/>
        <w:bottom w:val="single" w:color="366091" w:sz="4" w:space="10"/>
      </w:pBdr>
      <w:spacing w:before="360" w:after="360"/>
      <w:ind w:left="864" w:right="864"/>
      <w:jc w:val="center"/>
    </w:pPr>
    <w:rPr>
      <w:i/>
      <w:iCs/>
      <w:color w:val="365F90"/>
    </w:rPr>
  </w:style>
  <w:style w:type="paragraph" w:customStyle="1" w:styleId="27">
    <w:name w:val="_Style 38"/>
    <w:basedOn w:val="1"/>
    <w:qFormat/>
    <w:uiPriority w:val="34"/>
    <w:pPr>
      <w:ind w:firstLine="420" w:firstLineChars="200"/>
    </w:pPr>
  </w:style>
  <w:style w:type="paragraph" w:customStyle="1" w:styleId="28">
    <w:name w:val="null3"/>
    <w:qFormat/>
    <w:uiPriority w:val="0"/>
    <w:rPr>
      <w:rFonts w:hint="eastAsia" w:ascii="Calibri" w:hAnsi="Calibri" w:eastAsia="宋体" w:cs="Times New Roman"/>
      <w:kern w:val="0"/>
      <w:sz w:val="20"/>
      <w:szCs w:val="20"/>
      <w:lang w:val="en-US" w:eastAsia="zh-CN" w:bidi="ar-SA"/>
    </w:rPr>
  </w:style>
  <w:style w:type="paragraph" w:customStyle="1" w:styleId="29">
    <w:name w:val="首行缩进"/>
    <w:basedOn w:val="1"/>
    <w:qFormat/>
    <w:uiPriority w:val="0"/>
    <w:pPr>
      <w:widowControl w:val="0"/>
      <w:adjustRightInd/>
      <w:snapToGrid/>
      <w:spacing w:after="0"/>
      <w:ind w:firstLine="480" w:firstLineChars="200"/>
      <w:jc w:val="both"/>
    </w:pPr>
    <w:rPr>
      <w:rFonts w:ascii="Times New Roman" w:hAnsi="Times New Roman" w:eastAsia="宋体"/>
      <w:kern w:val="2"/>
      <w:sz w:val="21"/>
      <w:szCs w:val="24"/>
      <w:lang w:val="zh-CN"/>
    </w:rPr>
  </w:style>
  <w:style w:type="character" w:customStyle="1" w:styleId="30">
    <w:name w:val="标题 1 字符"/>
    <w:basedOn w:val="22"/>
    <w:link w:val="2"/>
    <w:uiPriority w:val="9"/>
    <w:rPr>
      <w:rFonts w:ascii="Cambria" w:hAnsi="Cambria" w:eastAsia="宋体" w:cs="黑体"/>
      <w:color w:val="365F90"/>
      <w:sz w:val="48"/>
      <w:szCs w:val="48"/>
    </w:rPr>
  </w:style>
  <w:style w:type="character" w:customStyle="1" w:styleId="31">
    <w:name w:val="标题 2 字符"/>
    <w:basedOn w:val="22"/>
    <w:link w:val="3"/>
    <w:uiPriority w:val="9"/>
    <w:rPr>
      <w:rFonts w:ascii="Cambria" w:hAnsi="Cambria" w:eastAsia="宋体" w:cs="黑体"/>
      <w:color w:val="365F90"/>
      <w:sz w:val="40"/>
      <w:szCs w:val="40"/>
    </w:rPr>
  </w:style>
  <w:style w:type="character" w:customStyle="1" w:styleId="32">
    <w:name w:val="标题 3 字符"/>
    <w:basedOn w:val="22"/>
    <w:link w:val="4"/>
    <w:uiPriority w:val="9"/>
    <w:rPr>
      <w:rFonts w:ascii="Cambria" w:hAnsi="Cambria" w:eastAsia="宋体" w:cs="黑体"/>
      <w:color w:val="365F90"/>
      <w:sz w:val="32"/>
      <w:szCs w:val="32"/>
    </w:rPr>
  </w:style>
  <w:style w:type="character" w:customStyle="1" w:styleId="33">
    <w:name w:val="标题 4 字符"/>
    <w:basedOn w:val="22"/>
    <w:link w:val="5"/>
    <w:uiPriority w:val="9"/>
    <w:rPr>
      <w:rFonts w:cs="黑体"/>
      <w:color w:val="365F90"/>
      <w:sz w:val="28"/>
      <w:szCs w:val="28"/>
    </w:rPr>
  </w:style>
  <w:style w:type="character" w:customStyle="1" w:styleId="34">
    <w:name w:val="标题 5 字符"/>
    <w:basedOn w:val="22"/>
    <w:link w:val="6"/>
    <w:uiPriority w:val="9"/>
    <w:rPr>
      <w:rFonts w:cs="黑体"/>
      <w:color w:val="365F90"/>
      <w:sz w:val="24"/>
      <w:szCs w:val="24"/>
    </w:rPr>
  </w:style>
  <w:style w:type="character" w:customStyle="1" w:styleId="35">
    <w:name w:val="标题 6 字符"/>
    <w:basedOn w:val="22"/>
    <w:link w:val="7"/>
    <w:uiPriority w:val="9"/>
    <w:rPr>
      <w:rFonts w:cs="黑体"/>
      <w:b/>
      <w:bCs/>
      <w:color w:val="365F90"/>
    </w:rPr>
  </w:style>
  <w:style w:type="character" w:customStyle="1" w:styleId="36">
    <w:name w:val="标题 7 字符"/>
    <w:basedOn w:val="22"/>
    <w:link w:val="8"/>
    <w:uiPriority w:val="9"/>
    <w:rPr>
      <w:rFonts w:cs="黑体"/>
      <w:b/>
      <w:bCs/>
      <w:color w:val="565656"/>
    </w:rPr>
  </w:style>
  <w:style w:type="character" w:customStyle="1" w:styleId="37">
    <w:name w:val="标题 8 字符"/>
    <w:basedOn w:val="22"/>
    <w:link w:val="9"/>
    <w:uiPriority w:val="9"/>
    <w:rPr>
      <w:rFonts w:cs="黑体"/>
      <w:color w:val="565656"/>
    </w:rPr>
  </w:style>
  <w:style w:type="character" w:customStyle="1" w:styleId="38">
    <w:name w:val="标题 9 字符"/>
    <w:basedOn w:val="22"/>
    <w:link w:val="10"/>
    <w:uiPriority w:val="9"/>
    <w:rPr>
      <w:rFonts w:eastAsia="宋体" w:cs="黑体"/>
      <w:color w:val="565656"/>
    </w:rPr>
  </w:style>
  <w:style w:type="character" w:customStyle="1" w:styleId="39">
    <w:name w:val="标题 字符"/>
    <w:basedOn w:val="22"/>
    <w:link w:val="21"/>
    <w:uiPriority w:val="10"/>
    <w:rPr>
      <w:rFonts w:ascii="Cambria" w:hAnsi="Cambria" w:eastAsia="宋体" w:cs="黑体"/>
      <w:spacing w:val="-10"/>
      <w:kern w:val="28"/>
      <w:sz w:val="56"/>
      <w:szCs w:val="56"/>
    </w:rPr>
  </w:style>
  <w:style w:type="character" w:customStyle="1" w:styleId="40">
    <w:name w:val="副标题 字符"/>
    <w:basedOn w:val="22"/>
    <w:link w:val="18"/>
    <w:uiPriority w:val="11"/>
    <w:rPr>
      <w:rFonts w:ascii="Cambria" w:hAnsi="Cambria" w:eastAsia="宋体" w:cs="黑体"/>
      <w:color w:val="565656"/>
      <w:spacing w:val="15"/>
      <w:sz w:val="28"/>
      <w:szCs w:val="28"/>
    </w:rPr>
  </w:style>
  <w:style w:type="character" w:customStyle="1" w:styleId="41">
    <w:name w:val="引用 字符"/>
    <w:basedOn w:val="22"/>
    <w:link w:val="24"/>
    <w:qFormat/>
    <w:uiPriority w:val="29"/>
    <w:rPr>
      <w:i/>
      <w:iCs/>
      <w:color w:val="3F3F3F"/>
    </w:rPr>
  </w:style>
  <w:style w:type="character" w:customStyle="1" w:styleId="42">
    <w:name w:val="Intense Emphasis"/>
    <w:basedOn w:val="22"/>
    <w:qFormat/>
    <w:uiPriority w:val="21"/>
    <w:rPr>
      <w:i/>
      <w:iCs/>
      <w:color w:val="365F90"/>
    </w:rPr>
  </w:style>
  <w:style w:type="character" w:customStyle="1" w:styleId="43">
    <w:name w:val="明显引用 字符"/>
    <w:basedOn w:val="22"/>
    <w:link w:val="26"/>
    <w:qFormat/>
    <w:uiPriority w:val="30"/>
    <w:rPr>
      <w:i/>
      <w:iCs/>
      <w:color w:val="365F90"/>
    </w:rPr>
  </w:style>
  <w:style w:type="character" w:customStyle="1" w:styleId="44">
    <w:name w:val="Intense Reference"/>
    <w:basedOn w:val="22"/>
    <w:qFormat/>
    <w:uiPriority w:val="32"/>
    <w:rPr>
      <w:b/>
      <w:bCs/>
      <w:color w:val="365F90"/>
      <w:spacing w:val="5"/>
    </w:rPr>
  </w:style>
  <w:style w:type="character" w:customStyle="1" w:styleId="45">
    <w:name w:val="页眉 字符"/>
    <w:basedOn w:val="22"/>
    <w:link w:val="16"/>
    <w:uiPriority w:val="99"/>
    <w:rPr>
      <w:sz w:val="18"/>
      <w:szCs w:val="18"/>
    </w:rPr>
  </w:style>
  <w:style w:type="character" w:customStyle="1" w:styleId="46">
    <w:name w:val="页脚 字符"/>
    <w:basedOn w:val="22"/>
    <w:link w:val="14"/>
    <w:uiPriority w:val="99"/>
    <w:rPr>
      <w:sz w:val="18"/>
      <w:szCs w:val="18"/>
    </w:rPr>
  </w:style>
  <w:style w:type="character" w:customStyle="1" w:styleId="47">
    <w:name w:val="纯文本 字符1"/>
    <w:basedOn w:val="22"/>
    <w:link w:val="13"/>
    <w:uiPriority w:val="99"/>
    <w:rPr>
      <w:rFonts w:ascii="宋体" w:hAnsi="Courier New" w:eastAsia="宋体" w:cs="Courier New"/>
      <w:szCs w:val="21"/>
    </w:rPr>
  </w:style>
  <w:style w:type="character" w:customStyle="1" w:styleId="48">
    <w:name w:val="纯文本 字符"/>
    <w:basedOn w:val="22"/>
    <w:semiHidden/>
    <w:qFormat/>
    <w:uiPriority w:val="99"/>
    <w:rPr>
      <w:rFonts w:ascii="宋体" w:hAnsi="Courier New" w:cs="Courier New"/>
      <w:kern w:val="0"/>
      <w:sz w:val="22"/>
    </w:rPr>
  </w:style>
  <w:style w:type="character" w:customStyle="1" w:styleId="49">
    <w:name w:val="正文文本 字符"/>
    <w:basedOn w:val="22"/>
    <w:link w:val="11"/>
    <w:uiPriority w:val="0"/>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1325</Words>
  <Characters>7557</Characters>
  <Lines>62</Lines>
  <Paragraphs>17</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2025-03-29T06:45:00Z</dcterms:created>
  <dc:creator>Admin</dc:creator>
  <cp:lastModifiedBy>Admin</cp:lastModifiedBy>
  <cp:lastPrinted>2025-04-02T07:59:00Z</cp:lastPrinted>
  <dcterms:modified xsi:type="dcterms:W3CDTF">2025-04-02T06:39:47Z</dcterms:modified>
  <dc:title>福建省肿瘤医院配电房年检服务项目招标文件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5C80D8BEA91BD0B27651EB67775C6D83_43</vt:lpwstr>
  </property>
</Properties>
</file>