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ordWrap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</w:rPr>
        <w:t>网超品牌论证公告</w:t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分子病理存储服务器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钱工、金工</w:t>
      </w:r>
    </w:p>
    <w:p>
      <w:pPr>
        <w:pStyle w:val="2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pPr w:leftFromText="180" w:rightFromText="180" w:vertAnchor="text" w:horzAnchor="page" w:tblpX="1562" w:tblpY="283"/>
        <w:tblOverlap w:val="never"/>
        <w:tblW w:w="9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3178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合同包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2697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一）</w:t>
            </w:r>
          </w:p>
        </w:tc>
        <w:tc>
          <w:tcPr>
            <w:tcW w:w="3178" w:type="dxa"/>
            <w:vAlign w:val="center"/>
          </w:tcPr>
          <w:p>
            <w:pPr>
              <w:numPr>
                <w:numId w:val="0"/>
              </w:numPr>
              <w:wordWrap/>
              <w:spacing w:before="0" w:after="0" w:line="360" w:lineRule="auto"/>
              <w:ind w:left="0" w:leftChars="0" w:right="0" w:firstLine="0" w:firstLineChars="0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分子病理存储服务器</w:t>
            </w:r>
          </w:p>
        </w:tc>
        <w:tc>
          <w:tcPr>
            <w:tcW w:w="1590" w:type="dxa"/>
            <w:vAlign w:val="center"/>
          </w:tcPr>
          <w:p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894" w:type="dxa"/>
            <w:vAlign w:val="center"/>
          </w:tcPr>
          <w:p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/>
        <w:widowControl/>
        <w:numPr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2"/>
        <w:numPr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  <w:bookmarkStart w:id="0" w:name="_GoBack"/>
      <w:bookmarkEnd w:id="0"/>
    </w:p>
    <w:tbl>
      <w:tblPr>
        <w:tblW w:w="8525" w:type="dxa"/>
        <w:jc w:val="center"/>
        <w:tblInd w:w="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508"/>
        <w:gridCol w:w="5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034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08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983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5" w:hRule="exact"/>
          <w:jc w:val="center"/>
        </w:trPr>
        <w:tc>
          <w:tcPr>
            <w:tcW w:w="1034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服务器</w:t>
            </w:r>
          </w:p>
        </w:tc>
        <w:tc>
          <w:tcPr>
            <w:tcW w:w="5983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CPU配置≥2颗国产C86架构处理器，单颗CPU不低于24核心，主频不低于2.2GHz；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内存插槽数≥32个，配置≥256GB DDR4-3200内存，最大支持4.0TB内存容量；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 可插拔硬盘槽位≥28个，配置≥2*960GB SSD硬盘，配置≥20*16TB 3.5in HDD硬盘，支持多达24个3.5英寸硬盘、4个2.5英寸硬盘，支持SAS/SATA HDD/SSD硬盘，支持前置/内置NVMe硬盘，支持SATA M.2选件；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 配置≥4个千兆电口，≥2个25GE光口(含2个25G多模光模块)，板载1个1Gbps独立远程管理控制端口，支持HDM无代理管理工具 (带独立管理端口)；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5" w:hRule="exact"/>
          <w:jc w:val="center"/>
        </w:trPr>
        <w:tc>
          <w:tcPr>
            <w:tcW w:w="1034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983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 配置≥12Gb 2端口SAS RAID卡(支持8个SAS口,4G缓存,含掉电保护)；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 为保证产品的可扩展性，要求支持≥10个PCIe 4.0/3.0扩展槽、1个板载OCP3.0插槽和1个板载RAID卡；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 为保证产品的安全性，满足中国标准TCM 1.0可信计算要求，要求产品可配置TCM/TPM安全模块；支持机箱入侵检测功能；可选配置PCIe防护模块，提供防火墙、IPS、防病毒和QoS等防护功能；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 配置1300W 1+1冗余电源；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9. 提供3年原厂售后维保服务。</w:t>
            </w:r>
          </w:p>
        </w:tc>
      </w:tr>
    </w:tbl>
    <w:p>
      <w:pPr>
        <w:numPr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项目为交钥匙工程，主要工作为：各设备上架调试、系统集成等软硬件安装工作，同时必须结合医院现有设备及应用情况，实施现有及本项目规划、等保安全、系统集成、数据迁移、协助完成医院评审工作包括但不限于三级等保评审、电子病历评审、互联互通评审等各项工作；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本预算价应包含设备价格、实施费用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含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相关光纤辅材，机柜整理及设备接地服务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、集成费用及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none" w:color="auto"/>
        </w:rPr>
        <w:t>年保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修期内（扩容设备随主机保修）的维修及服务费用等，本预算价为含税开票价格。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3"/>
        <w:numPr>
          <w:numId w:val="0"/>
        </w:numPr>
        <w:wordWrap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widowControl w:val="0"/>
        <w:numPr>
          <w:ilvl w:val="0"/>
          <w:numId w:val="1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3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2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2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</w:t>
      </w:r>
      <w:r>
        <w:rPr>
          <w:rFonts w:hint="eastAsia" w:ascii="仿宋_GB2312" w:hAnsi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论证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的预算限价；</w:t>
      </w:r>
    </w:p>
    <w:p>
      <w:pPr>
        <w:pStyle w:val="2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</w:t>
      </w:r>
      <w:r>
        <w:rPr>
          <w:rFonts w:hint="eastAsia" w:ascii="仿宋_GB2312" w:hAnsi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论证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的主要参数，不代表本项目招标的最终参数；</w:t>
      </w:r>
    </w:p>
    <w:p>
      <w:pPr>
        <w:pStyle w:val="2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2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p>
      <w:pPr>
        <w:pStyle w:val="2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43651022">
    <w:nsid w:val="C1562FCE"/>
    <w:multiLevelType w:val="singleLevel"/>
    <w:tmpl w:val="C1562FCE"/>
    <w:lvl w:ilvl="0" w:tentative="1">
      <w:start w:val="1"/>
      <w:numFmt w:val="decimal"/>
      <w:suff w:val="nothing"/>
      <w:lvlText w:val="%1、"/>
      <w:lvlJc w:val="left"/>
    </w:lvl>
  </w:abstractNum>
  <w:abstractNum w:abstractNumId="1739864447">
    <w:nsid w:val="67B4397F"/>
    <w:multiLevelType w:val="singleLevel"/>
    <w:tmpl w:val="67B4397F"/>
    <w:lvl w:ilvl="0" w:tentative="1">
      <w:start w:val="1"/>
      <w:numFmt w:val="decimal"/>
      <w:suff w:val="nothing"/>
      <w:lvlText w:val="%1、"/>
      <w:lvlJc w:val="left"/>
    </w:lvl>
  </w:abstractNum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398085122"/>
  </w:num>
  <w:num w:numId="2">
    <w:abstractNumId w:val="3243651022"/>
  </w:num>
  <w:num w:numId="3">
    <w:abstractNumId w:val="17398644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WYwOWNhMWIwMTM5Y2VhMTQwZDE5YzA3MTI0ODg5N2E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styleId="5">
    <w:name w:val="Body Text"/>
    <w:basedOn w:val="1"/>
    <w:next w:val="6"/>
    <w:unhideWhenUsed/>
    <w:qFormat/>
    <w:uiPriority w:val="99"/>
    <w:rPr>
      <w:rFonts w:ascii="仿宋_GB2312" w:eastAsia="仿宋_GB2312"/>
      <w:sz w:val="32"/>
    </w:rPr>
  </w:style>
  <w:style w:type="paragraph" w:customStyle="1" w:styleId="6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2759</Words>
  <Characters>3104</Characters>
  <Lines>0</Lines>
  <Paragraphs>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Admin</cp:lastModifiedBy>
  <cp:lastPrinted>2023-06-20T07:45:00Z</cp:lastPrinted>
  <dcterms:modified xsi:type="dcterms:W3CDTF">2025-03-31T02:32:38Z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CD1CBFDCF0B34D54A1323A555A4AB815_12</vt:lpwstr>
  </property>
  <property fmtid="{D5CDD505-2E9C-101B-9397-08002B2CF9AE}" pid="4" name="KSOTemplateDocerSaveRecord">
    <vt:lpwstr>eyJoZGlkIjoiNjMxMGQ2ODQ1OTZiZjI5ZTE2YThiYTc0MTgyNDRkNmUiLCJ1c2VySWQiOiIxNDE1MTgzNjQyIn0=</vt:lpwstr>
  </property>
</Properties>
</file>