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7"/>
        <w:snapToGrid w:val="0"/>
        <w:spacing w:line="590" w:lineRule="exact"/>
        <w:jc w:val="center"/>
        <w:rPr>
          <w:rFonts w:ascii="方正小标宋简体" w:hAnsi="方正小标宋简体" w:eastAsia="方正小标宋简体" w:cs="方正小标宋简体"/>
          <w:bCs/>
          <w:color w:val="auto"/>
          <w:sz w:val="44"/>
          <w:szCs w:val="44"/>
          <w:shd w:val="clear" w:color="auto" w:fill="auto"/>
        </w:rPr>
      </w:pPr>
      <w:r>
        <w:rPr>
          <w:rFonts w:hint="eastAsia" w:ascii="方正小标宋简体" w:hAnsi="方正小标宋简体" w:eastAsia="方正小标宋简体" w:cs="方正小标宋简体"/>
          <w:bCs/>
          <w:color w:val="auto"/>
          <w:sz w:val="44"/>
          <w:szCs w:val="44"/>
          <w:shd w:val="clear" w:color="auto" w:fill="auto"/>
        </w:rPr>
        <w:t>福建省肿瘤医院</w:t>
      </w:r>
      <w:r>
        <w:rPr>
          <w:rFonts w:hint="eastAsia" w:ascii="方正小标宋简体" w:hAnsi="方正小标宋简体" w:eastAsia="方正小标宋简体" w:cs="方正小标宋简体"/>
          <w:bCs/>
          <w:color w:val="auto"/>
          <w:sz w:val="44"/>
          <w:szCs w:val="44"/>
          <w:shd w:val="clear" w:color="auto" w:fill="auto"/>
          <w:lang w:val="en-US" w:eastAsia="zh-CN"/>
        </w:rPr>
        <w:t>妇科后装可视门禁</w:t>
      </w:r>
      <w:r>
        <w:rPr>
          <w:rFonts w:hint="eastAsia" w:ascii="方正小标宋简体" w:hAnsi="方正小标宋简体" w:eastAsia="方正小标宋简体" w:cs="方正小标宋简体"/>
          <w:bCs/>
          <w:color w:val="auto"/>
          <w:sz w:val="44"/>
          <w:szCs w:val="44"/>
          <w:shd w:val="clear" w:color="auto" w:fill="auto"/>
        </w:rPr>
        <w:t>项目</w:t>
      </w:r>
    </w:p>
    <w:p>
      <w:pPr>
        <w:pStyle w:val="17"/>
        <w:snapToGrid w:val="0"/>
        <w:spacing w:line="590" w:lineRule="exact"/>
        <w:jc w:val="center"/>
        <w:rPr>
          <w:rFonts w:ascii="方正小标宋简体" w:hAnsi="方正小标宋简体" w:eastAsia="方正小标宋简体" w:cs="方正小标宋简体"/>
          <w:b/>
          <w:color w:val="auto"/>
          <w:sz w:val="44"/>
          <w:szCs w:val="44"/>
          <w:shd w:val="clear" w:color="auto" w:fill="auto"/>
        </w:rPr>
      </w:pPr>
      <w:r>
        <w:rPr>
          <w:rFonts w:hint="eastAsia" w:ascii="方正小标宋简体" w:hAnsi="方正小标宋简体" w:eastAsia="方正小标宋简体" w:cs="方正小标宋简体"/>
          <w:bCs/>
          <w:color w:val="auto"/>
          <w:sz w:val="44"/>
          <w:szCs w:val="44"/>
          <w:shd w:val="clear" w:color="auto" w:fill="auto"/>
        </w:rPr>
        <w:t>招标采购公告</w:t>
      </w:r>
    </w:p>
    <w:p>
      <w:pPr>
        <w:pStyle w:val="12"/>
        <w:widowControl/>
        <w:shd w:val="clear" w:color="auto" w:fill="FFFFFF"/>
        <w:adjustRightInd w:val="0"/>
        <w:snapToGrid w:val="0"/>
        <w:spacing w:before="0" w:beforeAutospacing="0" w:after="0" w:afterAutospacing="0" w:line="590" w:lineRule="exact"/>
        <w:textAlignment w:val="baseline"/>
        <w:rPr>
          <w:rFonts w:ascii="仿宋_GB2312" w:hAnsi="仿宋_GB2312" w:eastAsia="仿宋_GB2312" w:cs="仿宋_GB2312"/>
          <w:color w:val="auto"/>
          <w:sz w:val="32"/>
          <w:szCs w:val="32"/>
          <w:shd w:val="clear" w:color="auto" w:fill="auto"/>
        </w:rPr>
      </w:pPr>
    </w:p>
    <w:p>
      <w:pPr>
        <w:adjustRightInd w:val="0"/>
        <w:snapToGrid w:val="0"/>
        <w:spacing w:before="150" w:line="590" w:lineRule="exact"/>
        <w:ind w:firstLine="640" w:firstLineChars="200"/>
        <w:rPr>
          <w:rFonts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一、项目概况和基本情况</w:t>
      </w:r>
    </w:p>
    <w:p>
      <w:pPr>
        <w:spacing w:line="590" w:lineRule="exact"/>
        <w:ind w:firstLine="640" w:firstLineChars="200"/>
        <w:rPr>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1、项目名称：</w:t>
      </w:r>
      <w:r>
        <w:rPr>
          <w:rFonts w:hint="eastAsia" w:ascii="仿宋_GB2312" w:hAnsi="仿宋_GB2312" w:eastAsia="仿宋_GB2312" w:cs="仿宋_GB2312"/>
          <w:color w:val="auto"/>
          <w:sz w:val="32"/>
          <w:szCs w:val="32"/>
          <w:shd w:val="clear" w:color="auto" w:fill="auto"/>
          <w:lang w:val="en-US" w:eastAsia="zh-CN"/>
        </w:rPr>
        <w:t>妇科后装可视门禁</w:t>
      </w:r>
    </w:p>
    <w:p>
      <w:pPr>
        <w:spacing w:line="590" w:lineRule="exact"/>
        <w:rPr>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 xml:space="preserve">    2、采购预算金额：</w:t>
      </w:r>
      <w:r>
        <w:rPr>
          <w:rFonts w:ascii="仿宋_GB2312" w:hAnsi="仿宋_GB2312" w:eastAsia="仿宋_GB2312" w:cs="仿宋_GB2312"/>
          <w:color w:val="auto"/>
          <w:sz w:val="32"/>
          <w:szCs w:val="32"/>
          <w:shd w:val="clear" w:color="auto" w:fill="auto"/>
        </w:rPr>
        <w:t>2</w:t>
      </w:r>
      <w:r>
        <w:rPr>
          <w:rFonts w:hint="eastAsia" w:ascii="仿宋_GB2312" w:hAnsi="仿宋_GB2312" w:eastAsia="仿宋_GB2312" w:cs="仿宋_GB2312"/>
          <w:color w:val="auto"/>
          <w:sz w:val="32"/>
          <w:szCs w:val="32"/>
          <w:shd w:val="clear" w:color="auto" w:fill="auto"/>
        </w:rPr>
        <w:t>0000.00元</w:t>
      </w:r>
    </w:p>
    <w:p>
      <w:pPr>
        <w:adjustRightInd w:val="0"/>
        <w:snapToGrid w:val="0"/>
        <w:spacing w:line="590" w:lineRule="exact"/>
        <w:ind w:firstLine="640" w:firstLineChars="20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3、交货地点：福马路420号肿瘤医院院内。</w:t>
      </w:r>
    </w:p>
    <w:p>
      <w:pPr>
        <w:adjustRightInd w:val="0"/>
        <w:snapToGrid w:val="0"/>
        <w:spacing w:line="590" w:lineRule="exact"/>
        <w:ind w:firstLine="640" w:firstLineChars="20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4、本项目不接受联合体投标，不允许分包。</w:t>
      </w:r>
    </w:p>
    <w:p>
      <w:pPr>
        <w:adjustRightInd w:val="0"/>
        <w:snapToGrid w:val="0"/>
        <w:spacing w:afterLines="50" w:line="590" w:lineRule="exact"/>
        <w:ind w:firstLine="640" w:firstLineChars="20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5、采购需求：（包括但不限于标的名称、数量、简要技术需求或服务要求、交货期及控制价等）</w:t>
      </w:r>
    </w:p>
    <w:p>
      <w:pPr>
        <w:pStyle w:val="6"/>
        <w:adjustRightInd w:val="0"/>
        <w:snapToGrid w:val="0"/>
        <w:jc w:val="center"/>
        <w:rPr>
          <w:rFonts w:hint="eastAsia" w:ascii="仿宋_GB2312" w:hAnsi="仿宋_GB2312" w:eastAsia="仿宋_GB2312" w:cs="仿宋_GB2312"/>
          <w:b/>
          <w:color w:val="auto"/>
          <w:sz w:val="32"/>
          <w:szCs w:val="32"/>
          <w:shd w:val="clear" w:color="auto" w:fill="auto"/>
        </w:rPr>
      </w:pPr>
      <w:r>
        <w:rPr>
          <w:rFonts w:hint="eastAsia" w:ascii="仿宋_GB2312" w:hAnsi="仿宋_GB2312" w:eastAsia="仿宋_GB2312" w:cs="仿宋_GB2312"/>
          <w:b/>
          <w:color w:val="auto"/>
          <w:sz w:val="32"/>
          <w:szCs w:val="32"/>
          <w:shd w:val="clear" w:color="auto" w:fill="auto"/>
        </w:rPr>
        <w:t>采购一览表</w:t>
      </w:r>
    </w:p>
    <w:tbl>
      <w:tblPr>
        <w:tblW w:w="84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8"/>
        <w:gridCol w:w="990"/>
        <w:gridCol w:w="2160"/>
        <w:gridCol w:w="1725"/>
        <w:gridCol w:w="1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4" w:hRule="atLeast"/>
          <w:jc w:val="center"/>
        </w:trPr>
        <w:tc>
          <w:tcPr>
            <w:tcW w:w="1848" w:type="dxa"/>
            <w:shd w:val="clear" w:color="FFFFFF" w:fill="auto"/>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项 目 名 称</w:t>
            </w:r>
          </w:p>
        </w:tc>
        <w:tc>
          <w:tcPr>
            <w:tcW w:w="990" w:type="dxa"/>
            <w:shd w:val="clear" w:color="FFFFFF" w:fill="auto"/>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数量</w:t>
            </w:r>
          </w:p>
        </w:tc>
        <w:tc>
          <w:tcPr>
            <w:tcW w:w="2160" w:type="dxa"/>
            <w:shd w:val="clear" w:color="FFFFFF" w:fill="auto"/>
            <w:vAlign w:val="center"/>
          </w:tcPr>
          <w:p>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主要技术规格</w:t>
            </w:r>
          </w:p>
        </w:tc>
        <w:tc>
          <w:tcPr>
            <w:tcW w:w="1725" w:type="dxa"/>
            <w:shd w:val="clear" w:color="FFFFFF" w:fill="auto"/>
            <w:vAlign w:val="center"/>
          </w:tcPr>
          <w:p>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交货期</w:t>
            </w:r>
          </w:p>
        </w:tc>
        <w:tc>
          <w:tcPr>
            <w:tcW w:w="1772" w:type="dxa"/>
            <w:shd w:val="clear" w:color="FFFFFF" w:fill="auto"/>
            <w:vAlign w:val="center"/>
          </w:tcPr>
          <w:p>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控制价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3" w:hRule="atLeast"/>
          <w:jc w:val="center"/>
        </w:trPr>
        <w:tc>
          <w:tcPr>
            <w:tcW w:w="1848" w:type="dxa"/>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auto"/>
                <w:sz w:val="32"/>
                <w:szCs w:val="32"/>
                <w:shd w:val="clear" w:color="auto" w:fill="auto"/>
                <w:lang w:val="en-US" w:eastAsia="zh-CN"/>
              </w:rPr>
              <w:t>妇科后装可视门禁</w:t>
            </w:r>
          </w:p>
        </w:tc>
        <w:tc>
          <w:tcPr>
            <w:tcW w:w="990" w:type="dxa"/>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1批</w:t>
            </w:r>
          </w:p>
        </w:tc>
        <w:tc>
          <w:tcPr>
            <w:tcW w:w="2160" w:type="dxa"/>
            <w:vAlign w:val="center"/>
          </w:tcPr>
          <w:p>
            <w:pPr>
              <w:widowControl w:val="0"/>
              <w:wordWrap/>
              <w:adjustRightInd w:val="0"/>
              <w:snapToGrid w:val="0"/>
              <w:spacing w:line="240" w:lineRule="auto"/>
              <w:jc w:val="both"/>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详见附件或招标内容及要求</w:t>
            </w:r>
          </w:p>
        </w:tc>
        <w:tc>
          <w:tcPr>
            <w:tcW w:w="1725" w:type="dxa"/>
            <w:vAlign w:val="center"/>
          </w:tcPr>
          <w:p>
            <w:pPr>
              <w:widowControl w:val="0"/>
              <w:tabs>
                <w:tab w:val="left" w:pos="360"/>
              </w:tabs>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60天</w:t>
            </w:r>
          </w:p>
        </w:tc>
        <w:tc>
          <w:tcPr>
            <w:tcW w:w="1772" w:type="dxa"/>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sz w:val="32"/>
                <w:szCs w:val="32"/>
                <w:highlight w:val="none"/>
                <w:lang w:val="en-US" w:eastAsia="zh-CN"/>
              </w:rPr>
              <w:t>20000.00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3" w:hRule="atLeast"/>
          <w:jc w:val="center"/>
        </w:trPr>
        <w:tc>
          <w:tcPr>
            <w:tcW w:w="8495" w:type="dxa"/>
            <w:gridSpan w:val="5"/>
            <w:vAlign w:val="center"/>
          </w:tcPr>
          <w:p>
            <w:pPr>
              <w:pStyle w:val="16"/>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ab/>
            </w:r>
            <w:r>
              <w:rPr>
                <w:rFonts w:hint="eastAsia" w:ascii="仿宋_GB2312" w:hAnsi="仿宋_GB2312" w:eastAsia="仿宋_GB2312" w:cs="仿宋_GB2312"/>
                <w:sz w:val="28"/>
                <w:szCs w:val="28"/>
                <w:highlight w:val="none"/>
                <w:lang w:val="en-US" w:eastAsia="zh-CN"/>
              </w:rPr>
              <w:t>备注说明：</w:t>
            </w:r>
            <w:r>
              <w:rPr>
                <w:rFonts w:hint="eastAsia" w:ascii="宋体" w:hAnsi="宋体" w:eastAsia="宋体" w:cs="宋体"/>
                <w:color w:val="000000"/>
                <w:sz w:val="28"/>
                <w:szCs w:val="28"/>
              </w:rPr>
              <w:t>报价含货物、运输、安装调试、验收、保险、税费等相关费用。</w:t>
            </w:r>
          </w:p>
        </w:tc>
      </w:tr>
    </w:tbl>
    <w:p>
      <w:pPr>
        <w:pStyle w:val="6"/>
        <w:adjustRightInd w:val="0"/>
        <w:snapToGrid w:val="0"/>
        <w:jc w:val="center"/>
        <w:rPr>
          <w:rFonts w:hint="eastAsia" w:ascii="仿宋_GB2312" w:hAnsi="仿宋_GB2312" w:eastAsia="仿宋_GB2312" w:cs="仿宋_GB2312"/>
          <w:b/>
          <w:color w:val="auto"/>
          <w:sz w:val="32"/>
          <w:szCs w:val="32"/>
          <w:shd w:val="clear" w:color="auto" w:fill="auto"/>
        </w:rPr>
      </w:pPr>
    </w:p>
    <w:p>
      <w:pPr>
        <w:numPr>
          <w:ilvl w:val="0"/>
          <w:numId w:val="1"/>
        </w:numPr>
        <w:adjustRightInd w:val="0"/>
        <w:snapToGrid w:val="0"/>
        <w:spacing w:before="150" w:line="590" w:lineRule="exact"/>
        <w:ind w:firstLine="640" w:firstLineChars="200"/>
        <w:rPr>
          <w:rFonts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申请人的资格要求及审查办法</w:t>
      </w:r>
    </w:p>
    <w:p>
      <w:pPr>
        <w:adjustRightInd w:val="0"/>
        <w:snapToGrid w:val="0"/>
        <w:spacing w:line="590" w:lineRule="exact"/>
        <w:ind w:firstLine="640" w:firstLineChars="20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1、满足《中华人民共和国政府采购法》第二十二条规定。</w:t>
      </w:r>
    </w:p>
    <w:p>
      <w:pPr>
        <w:pStyle w:val="12"/>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2、落实政府采购政策需满足的资格要求。</w:t>
      </w:r>
    </w:p>
    <w:p>
      <w:pPr>
        <w:pStyle w:val="12"/>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3、委托代表人资格证明书（附法人及委托人身份证）。</w:t>
      </w:r>
    </w:p>
    <w:p>
      <w:pPr>
        <w:pStyle w:val="12"/>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4</w:t>
      </w:r>
      <w:r>
        <w:rPr>
          <w:rFonts w:hint="eastAsia" w:ascii="仿宋_GB2312" w:hAnsi="仿宋_GB2312" w:eastAsia="仿宋_GB2312" w:cs="仿宋_GB2312"/>
          <w:color w:val="auto"/>
          <w:sz w:val="32"/>
          <w:szCs w:val="32"/>
          <w:shd w:val="clear" w:color="auto" w:fill="auto"/>
        </w:rPr>
        <w:t>、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p>
    <w:p>
      <w:pPr>
        <w:pStyle w:val="12"/>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5</w:t>
      </w:r>
      <w:r>
        <w:rPr>
          <w:rFonts w:hint="eastAsia" w:ascii="仿宋_GB2312" w:hAnsi="仿宋_GB2312" w:eastAsia="仿宋_GB2312" w:cs="仿宋_GB2312"/>
          <w:color w:val="auto"/>
          <w:sz w:val="32"/>
          <w:szCs w:val="32"/>
          <w:shd w:val="clear" w:color="auto" w:fill="auto"/>
        </w:rPr>
        <w:t>、参加本次活动前三年内，在经营活动中没有重大违法违规记录的承诺。</w:t>
      </w:r>
    </w:p>
    <w:p>
      <w:pPr>
        <w:pStyle w:val="12"/>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6</w:t>
      </w:r>
      <w:r>
        <w:rPr>
          <w:rFonts w:hint="eastAsia" w:ascii="仿宋_GB2312" w:hAnsi="仿宋_GB2312" w:eastAsia="仿宋_GB2312" w:cs="仿宋_GB2312"/>
          <w:color w:val="auto"/>
          <w:sz w:val="32"/>
          <w:szCs w:val="32"/>
          <w:shd w:val="clear" w:color="auto" w:fill="auto"/>
        </w:rPr>
        <w:t>、资格审查采用方式：资格后审。</w:t>
      </w:r>
    </w:p>
    <w:p>
      <w:pPr>
        <w:pStyle w:val="12"/>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7</w:t>
      </w:r>
      <w:r>
        <w:rPr>
          <w:rFonts w:hint="eastAsia" w:ascii="仿宋_GB2312" w:hAnsi="仿宋_GB2312" w:eastAsia="仿宋_GB2312" w:cs="仿宋_GB2312"/>
          <w:color w:val="auto"/>
          <w:sz w:val="32"/>
          <w:szCs w:val="32"/>
          <w:shd w:val="clear" w:color="auto" w:fill="auto"/>
        </w:rPr>
        <w:t>、投标人可在（招标文件要求的截止时点）前分别通过“信用中国”网站（www.creditchina.gov.cn）、中国政府采购网（www.ccgp.gov.cn）查询并打印相可的信用记录。</w:t>
      </w:r>
    </w:p>
    <w:p>
      <w:pPr>
        <w:pStyle w:val="12"/>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8</w:t>
      </w:r>
      <w:r>
        <w:rPr>
          <w:rFonts w:hint="eastAsia" w:ascii="仿宋_GB2312" w:hAnsi="仿宋_GB2312" w:eastAsia="仿宋_GB2312" w:cs="仿宋_GB2312"/>
          <w:color w:val="auto"/>
          <w:sz w:val="32"/>
          <w:szCs w:val="32"/>
          <w:shd w:val="clear" w:color="auto" w:fill="auto"/>
        </w:rPr>
        <w:t>、投标人可对投标文件资料的真实性负责，招标人在授予合同之前有权对其投标文件资料进行核实，如发现所提交的资料不真实，招标人将视其为以弄虚作假方式骗取中标，其中标无效，若给招标人造成损失的，可依法承担赔偿责任，并列入医院供可商黑名单，院方有权在今后采购活动中拒绝接受其投标材料。</w:t>
      </w:r>
    </w:p>
    <w:p>
      <w:pPr>
        <w:pStyle w:val="12"/>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上述提供材料均须加盖公章。</w:t>
      </w:r>
    </w:p>
    <w:p>
      <w:pPr>
        <w:pStyle w:val="2"/>
        <w:widowControl/>
        <w:numPr>
          <w:ilvl w:val="0"/>
          <w:numId w:val="1"/>
        </w:numPr>
        <w:shd w:val="clear" w:color="070000" w:fill="FFFFFF"/>
        <w:spacing w:before="150" w:beforeAutospacing="0" w:afterAutospacing="0" w:line="590" w:lineRule="exact"/>
        <w:ind w:firstLine="640" w:firstLineChars="200"/>
        <w:textAlignment w:val="baseline"/>
        <w:rPr>
          <w:rStyle w:val="14"/>
          <w:rFonts w:hint="default" w:ascii="黑体" w:hAnsi="黑体" w:eastAsia="黑体" w:cs="黑体"/>
          <w:b w:val="0"/>
          <w:bCs w:val="0"/>
          <w:color w:val="auto"/>
          <w:sz w:val="32"/>
          <w:szCs w:val="32"/>
          <w:shd w:val="clear" w:color="auto" w:fill="auto"/>
        </w:rPr>
      </w:pPr>
      <w:r>
        <w:rPr>
          <w:rStyle w:val="14"/>
          <w:rFonts w:ascii="黑体" w:hAnsi="黑体" w:eastAsia="黑体" w:cs="黑体"/>
          <w:b w:val="0"/>
          <w:bCs w:val="0"/>
          <w:color w:val="auto"/>
          <w:sz w:val="32"/>
          <w:szCs w:val="32"/>
          <w:shd w:val="clear" w:color="auto" w:fill="auto"/>
        </w:rPr>
        <w:t>采购项目需要落实的政府采购政策（若有）</w:t>
      </w:r>
    </w:p>
    <w:p>
      <w:pPr>
        <w:spacing w:line="590" w:lineRule="exact"/>
        <w:ind w:left="420" w:leftChars="200"/>
        <w:rPr>
          <w:color w:val="auto"/>
          <w:shd w:val="clear" w:color="auto" w:fill="auto"/>
        </w:rPr>
      </w:pPr>
    </w:p>
    <w:p>
      <w:pPr>
        <w:adjustRightInd w:val="0"/>
        <w:snapToGrid w:val="0"/>
        <w:spacing w:before="150" w:line="590" w:lineRule="exact"/>
        <w:ind w:firstLine="640" w:firstLineChars="200"/>
        <w:rPr>
          <w:rFonts w:ascii="仿宋_GB2312" w:hAnsi="仿宋_GB2312" w:eastAsia="仿宋_GB2312" w:cs="仿宋_GB2312"/>
          <w:color w:val="auto"/>
          <w:sz w:val="32"/>
          <w:szCs w:val="32"/>
          <w:shd w:val="clear" w:color="auto" w:fill="auto"/>
        </w:rPr>
      </w:pPr>
      <w:r>
        <w:rPr>
          <w:rFonts w:hint="eastAsia" w:ascii="黑体" w:hAnsi="黑体" w:eastAsia="黑体" w:cs="黑体"/>
          <w:color w:val="auto"/>
          <w:sz w:val="32"/>
          <w:szCs w:val="32"/>
          <w:shd w:val="clear" w:color="auto" w:fill="auto"/>
        </w:rPr>
        <w:t>四、采购文件的获取   </w:t>
      </w:r>
    </w:p>
    <w:p>
      <w:pPr>
        <w:adjustRightInd w:val="0"/>
        <w:snapToGrid w:val="0"/>
        <w:spacing w:before="150" w:line="590" w:lineRule="exact"/>
        <w:ind w:firstLine="640" w:firstLineChars="20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1、本项目不采用电子招投标。</w:t>
      </w:r>
    </w:p>
    <w:p>
      <w:pPr>
        <w:widowControl/>
        <w:tabs>
          <w:tab w:val="left" w:pos="900"/>
          <w:tab w:val="left" w:pos="1100"/>
        </w:tabs>
        <w:adjustRightInd w:val="0"/>
        <w:snapToGrid w:val="0"/>
        <w:spacing w:line="590" w:lineRule="exact"/>
        <w:ind w:firstLine="640" w:firstLineChars="200"/>
        <w:jc w:val="left"/>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2、凡有意参加投标者，均可在福建省肿瘤医院院方网站（www.fjzl.com.cn）下载与本项目相关的招标信息（包括招标文件、招标文件补充说明等）。</w:t>
      </w:r>
    </w:p>
    <w:p>
      <w:pPr>
        <w:adjustRightInd w:val="0"/>
        <w:snapToGrid w:val="0"/>
        <w:spacing w:before="150" w:line="590" w:lineRule="exact"/>
        <w:ind w:firstLine="640" w:firstLineChars="200"/>
        <w:rPr>
          <w:rFonts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五、</w:t>
      </w:r>
      <w:r>
        <w:rPr>
          <w:rStyle w:val="14"/>
          <w:rFonts w:hint="eastAsia" w:ascii="黑体" w:hAnsi="黑体" w:eastAsia="黑体" w:cs="黑体"/>
          <w:b w:val="0"/>
          <w:color w:val="auto"/>
          <w:sz w:val="32"/>
          <w:szCs w:val="32"/>
          <w:shd w:val="clear" w:color="auto" w:fill="auto"/>
        </w:rPr>
        <w:t>提交投标文件截止时间、开标时间和地点、</w:t>
      </w:r>
      <w:r>
        <w:rPr>
          <w:rFonts w:hint="eastAsia" w:ascii="黑体" w:hAnsi="黑体" w:eastAsia="黑体" w:cs="黑体"/>
          <w:color w:val="auto"/>
          <w:sz w:val="32"/>
          <w:szCs w:val="32"/>
          <w:shd w:val="clear" w:color="auto" w:fill="auto"/>
        </w:rPr>
        <w:t>答疑截止时间</w:t>
      </w:r>
    </w:p>
    <w:p>
      <w:pPr>
        <w:pStyle w:val="12"/>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auto"/>
          <w:sz w:val="32"/>
          <w:szCs w:val="32"/>
          <w:shd w:val="clear" w:color="auto" w:fill="auto"/>
        </w:rPr>
      </w:pPr>
      <w:r>
        <w:rPr>
          <w:rStyle w:val="14"/>
          <w:rFonts w:hint="eastAsia" w:ascii="仿宋_GB2312" w:hAnsi="仿宋_GB2312" w:eastAsia="仿宋_GB2312" w:cs="仿宋_GB2312"/>
          <w:b w:val="0"/>
          <w:color w:val="auto"/>
          <w:sz w:val="32"/>
          <w:szCs w:val="32"/>
          <w:shd w:val="clear" w:color="auto" w:fill="auto"/>
        </w:rPr>
        <w:t>1、截止时间：</w:t>
      </w:r>
      <w:r>
        <w:rPr>
          <w:rFonts w:hint="eastAsia" w:ascii="仿宋_GB2312" w:hAnsi="仿宋_GB2312" w:eastAsia="仿宋_GB2312" w:cs="仿宋_GB2312"/>
          <w:color w:val="auto"/>
          <w:sz w:val="32"/>
          <w:szCs w:val="32"/>
          <w:shd w:val="clear" w:color="auto" w:fill="auto"/>
          <w:lang w:eastAsia="zh-CN"/>
        </w:rPr>
        <w:t>2025</w:t>
      </w:r>
      <w:r>
        <w:rPr>
          <w:rFonts w:hint="eastAsia" w:ascii="仿宋_GB2312" w:hAnsi="仿宋_GB2312" w:eastAsia="仿宋_GB2312" w:cs="仿宋_GB2312"/>
          <w:color w:val="auto"/>
          <w:sz w:val="32"/>
          <w:szCs w:val="32"/>
          <w:shd w:val="clear" w:color="auto" w:fill="auto"/>
        </w:rPr>
        <w:t>年</w:t>
      </w: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rPr>
        <w:t>月</w:t>
      </w:r>
      <w:r>
        <w:rPr>
          <w:rFonts w:hint="eastAsia" w:ascii="仿宋_GB2312" w:hAnsi="仿宋_GB2312" w:eastAsia="仿宋_GB2312" w:cs="仿宋_GB2312"/>
          <w:color w:val="auto"/>
          <w:sz w:val="32"/>
          <w:szCs w:val="32"/>
          <w:shd w:val="clear" w:color="auto" w:fill="auto"/>
          <w:lang w:val="en-US" w:eastAsia="zh-CN"/>
        </w:rPr>
        <w:t>10</w:t>
      </w:r>
      <w:r>
        <w:rPr>
          <w:rFonts w:hint="eastAsia" w:ascii="仿宋_GB2312" w:hAnsi="仿宋_GB2312" w:eastAsia="仿宋_GB2312" w:cs="仿宋_GB2312"/>
          <w:color w:val="auto"/>
          <w:sz w:val="32"/>
          <w:szCs w:val="32"/>
          <w:shd w:val="clear" w:color="auto" w:fill="auto"/>
        </w:rPr>
        <w:t>日17:</w:t>
      </w:r>
      <w:r>
        <w:rPr>
          <w:rFonts w:hint="eastAsia" w:ascii="仿宋_GB2312" w:hAnsi="仿宋_GB2312" w:eastAsia="仿宋_GB2312" w:cs="仿宋_GB2312"/>
          <w:color w:val="auto"/>
          <w:sz w:val="32"/>
          <w:szCs w:val="32"/>
          <w:shd w:val="clear" w:color="auto" w:fill="auto"/>
          <w:lang w:val="en-US" w:eastAsia="zh-CN"/>
        </w:rPr>
        <w:t>0</w:t>
      </w:r>
      <w:r>
        <w:rPr>
          <w:rFonts w:hint="eastAsia" w:ascii="仿宋_GB2312" w:hAnsi="仿宋_GB2312" w:eastAsia="仿宋_GB2312" w:cs="仿宋_GB2312"/>
          <w:color w:val="auto"/>
          <w:sz w:val="32"/>
          <w:szCs w:val="32"/>
          <w:shd w:val="clear" w:color="auto" w:fill="auto"/>
        </w:rPr>
        <w:t>0点</w:t>
      </w:r>
    </w:p>
    <w:p>
      <w:pPr>
        <w:pStyle w:val="12"/>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auto"/>
          <w:sz w:val="32"/>
          <w:szCs w:val="32"/>
          <w:shd w:val="clear" w:color="auto" w:fill="auto"/>
        </w:rPr>
      </w:pPr>
      <w:r>
        <w:rPr>
          <w:rStyle w:val="14"/>
          <w:rFonts w:hint="eastAsia" w:ascii="仿宋_GB2312" w:hAnsi="仿宋_GB2312" w:eastAsia="仿宋_GB2312" w:cs="仿宋_GB2312"/>
          <w:b w:val="0"/>
          <w:color w:val="auto"/>
          <w:sz w:val="32"/>
          <w:szCs w:val="32"/>
          <w:shd w:val="clear" w:color="auto" w:fill="auto"/>
        </w:rPr>
        <w:t>2、开标时间：</w:t>
      </w:r>
      <w:r>
        <w:rPr>
          <w:rFonts w:hint="eastAsia" w:ascii="仿宋_GB2312" w:hAnsi="仿宋_GB2312" w:eastAsia="仿宋_GB2312" w:cs="仿宋_GB2312"/>
          <w:color w:val="auto"/>
          <w:sz w:val="32"/>
          <w:szCs w:val="32"/>
          <w:shd w:val="clear" w:color="auto" w:fill="auto"/>
          <w:lang w:eastAsia="zh-CN"/>
        </w:rPr>
        <w:t>2025</w:t>
      </w:r>
      <w:r>
        <w:rPr>
          <w:rFonts w:hint="eastAsia" w:ascii="仿宋_GB2312" w:hAnsi="仿宋_GB2312" w:eastAsia="仿宋_GB2312" w:cs="仿宋_GB2312"/>
          <w:color w:val="auto"/>
          <w:sz w:val="32"/>
          <w:szCs w:val="32"/>
          <w:shd w:val="clear" w:color="auto" w:fill="auto"/>
        </w:rPr>
        <w:t>年</w:t>
      </w: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rPr>
        <w:t>月</w:t>
      </w:r>
      <w:r>
        <w:rPr>
          <w:rFonts w:hint="eastAsia" w:ascii="仿宋_GB2312" w:hAnsi="仿宋_GB2312" w:eastAsia="仿宋_GB2312" w:cs="仿宋_GB2312"/>
          <w:color w:val="auto"/>
          <w:sz w:val="32"/>
          <w:szCs w:val="32"/>
          <w:shd w:val="clear" w:color="auto" w:fill="auto"/>
          <w:lang w:val="en-US" w:eastAsia="zh-CN"/>
        </w:rPr>
        <w:t>16</w:t>
      </w:r>
      <w:r>
        <w:rPr>
          <w:rFonts w:hint="eastAsia" w:ascii="仿宋_GB2312" w:hAnsi="仿宋_GB2312" w:eastAsia="仿宋_GB2312" w:cs="仿宋_GB2312"/>
          <w:color w:val="auto"/>
          <w:sz w:val="32"/>
          <w:szCs w:val="32"/>
          <w:shd w:val="clear" w:color="auto" w:fill="auto"/>
        </w:rPr>
        <w:t>日 9:</w:t>
      </w:r>
      <w:r>
        <w:rPr>
          <w:rFonts w:hint="eastAsia" w:ascii="仿宋_GB2312" w:hAnsi="仿宋_GB2312" w:eastAsia="仿宋_GB2312" w:cs="仿宋_GB2312"/>
          <w:color w:val="auto"/>
          <w:sz w:val="32"/>
          <w:szCs w:val="32"/>
          <w:shd w:val="clear" w:color="auto" w:fill="auto"/>
          <w:lang w:val="en-US" w:eastAsia="zh-CN"/>
        </w:rPr>
        <w:t>3</w:t>
      </w:r>
      <w:r>
        <w:rPr>
          <w:rFonts w:hint="eastAsia" w:ascii="仿宋_GB2312" w:hAnsi="仿宋_GB2312" w:eastAsia="仿宋_GB2312" w:cs="仿宋_GB2312"/>
          <w:color w:val="auto"/>
          <w:sz w:val="32"/>
          <w:szCs w:val="32"/>
          <w:shd w:val="clear" w:color="auto" w:fill="auto"/>
        </w:rPr>
        <w:t>0点</w:t>
      </w:r>
    </w:p>
    <w:p>
      <w:pPr>
        <w:pStyle w:val="12"/>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3、地点：</w:t>
      </w:r>
      <w:r>
        <w:rPr>
          <w:rFonts w:hint="eastAsia" w:ascii="仿宋_GB2312" w:hAnsi="仿宋_GB2312" w:eastAsia="仿宋_GB2312" w:cs="仿宋_GB2312"/>
          <w:color w:val="auto"/>
          <w:sz w:val="32"/>
          <w:szCs w:val="32"/>
          <w:shd w:val="clear" w:color="auto" w:fill="auto"/>
        </w:rPr>
        <w:t>福建省肿瘤医院网络技术中心会议室</w:t>
      </w:r>
    </w:p>
    <w:p>
      <w:pPr>
        <w:pStyle w:val="12"/>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4、投标文件正本</w:t>
      </w:r>
      <w:r>
        <w:rPr>
          <w:rFonts w:hint="eastAsia" w:ascii="仿宋_GB2312" w:hAnsi="仿宋_GB2312" w:eastAsia="仿宋_GB2312" w:cs="仿宋_GB2312"/>
          <w:bCs/>
          <w:color w:val="auto"/>
          <w:sz w:val="32"/>
          <w:szCs w:val="32"/>
          <w:u w:val="single"/>
          <w:shd w:val="clear" w:color="auto" w:fill="auto"/>
        </w:rPr>
        <w:t>壹</w:t>
      </w:r>
      <w:r>
        <w:rPr>
          <w:rFonts w:hint="eastAsia" w:ascii="仿宋_GB2312" w:hAnsi="仿宋_GB2312" w:eastAsia="仿宋_GB2312" w:cs="仿宋_GB2312"/>
          <w:color w:val="auto"/>
          <w:sz w:val="32"/>
          <w:szCs w:val="32"/>
          <w:shd w:val="clear" w:color="auto" w:fill="auto"/>
        </w:rPr>
        <w:t>份,副本</w:t>
      </w:r>
      <w:r>
        <w:rPr>
          <w:rFonts w:hint="eastAsia" w:ascii="仿宋_GB2312" w:hAnsi="仿宋_GB2312" w:eastAsia="仿宋_GB2312" w:cs="仿宋_GB2312"/>
          <w:bCs/>
          <w:color w:val="auto"/>
          <w:sz w:val="32"/>
          <w:szCs w:val="32"/>
          <w:u w:val="single"/>
          <w:shd w:val="clear" w:color="auto" w:fill="auto"/>
        </w:rPr>
        <w:t>壹</w:t>
      </w:r>
      <w:r>
        <w:rPr>
          <w:rFonts w:hint="eastAsia" w:ascii="仿宋_GB2312" w:hAnsi="仿宋_GB2312" w:eastAsia="仿宋_GB2312" w:cs="仿宋_GB2312"/>
          <w:color w:val="auto"/>
          <w:sz w:val="32"/>
          <w:szCs w:val="32"/>
          <w:shd w:val="clear" w:color="auto" w:fill="auto"/>
        </w:rPr>
        <w:t>份胶装并密封加盖投标人公章。投标文件未胶装将视为无效。</w:t>
      </w:r>
    </w:p>
    <w:p>
      <w:pPr>
        <w:pStyle w:val="12"/>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5、未参加报名的潜在投标人，其投标文件将被拒绝。</w:t>
      </w:r>
    </w:p>
    <w:p>
      <w:pPr>
        <w:pStyle w:val="12"/>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6、投标人若要求澄清招标文件，可在获取招标文件截止时间后的2个工作日内提出，招标人将随时解答。</w:t>
      </w:r>
    </w:p>
    <w:p>
      <w:pPr>
        <w:pStyle w:val="12"/>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7、若有涉及招标文件内容更正，请各潜在投标人密切关注福建省肿瘤医院官网通知，以最新公告为准。</w:t>
      </w:r>
    </w:p>
    <w:p>
      <w:pPr>
        <w:pStyle w:val="12"/>
        <w:widowControl/>
        <w:shd w:val="clear" w:color="070000" w:fill="FFFFFF"/>
        <w:adjustRightInd w:val="0"/>
        <w:snapToGrid w:val="0"/>
        <w:spacing w:before="0" w:beforeAutospacing="0" w:after="0" w:afterAutospacing="0" w:line="590" w:lineRule="exact"/>
        <w:ind w:firstLine="480" w:firstLineChars="200"/>
        <w:jc w:val="both"/>
        <w:textAlignment w:val="baseline"/>
        <w:rPr>
          <w:rFonts w:ascii="仿宋_GB2312" w:hAnsi="仿宋_GB2312" w:eastAsia="仿宋_GB2312" w:cs="仿宋_GB2312"/>
          <w:color w:val="auto"/>
          <w:sz w:val="32"/>
          <w:szCs w:val="32"/>
          <w:shd w:val="clear" w:color="auto" w:fill="auto"/>
        </w:rPr>
      </w:pPr>
      <w:r>
        <w:rPr>
          <w:color w:val="auto"/>
          <w:shd w:val="clear" w:color="auto" w:fill="auto"/>
        </w:rPr>
        <w:fldChar w:fldCharType="begin"/>
      </w:r>
      <w:r>
        <w:rPr>
          <w:color w:val="auto"/>
          <w:shd w:val="clear" w:color="auto" w:fill="auto"/>
        </w:rPr>
        <w:instrText xml:space="preserve">HYPERLINK "mailto:8、参加会议的公司应准备PPT材料（含方案介绍、服务及集成能力、应用案例、报价等）、技术参数等材料，每公司讲解时间30分钟（含答疑10分钟）；同时上述材料须交予院方留档（发送邮件到wlb@fjzlhospital.com，并提供U盘留档）。" </w:instrText>
      </w:r>
      <w:r>
        <w:rPr>
          <w:color w:val="auto"/>
          <w:shd w:val="clear" w:color="auto" w:fill="auto"/>
        </w:rPr>
        <w:fldChar w:fldCharType="separate"/>
      </w:r>
      <w:r>
        <w:rPr>
          <w:rFonts w:hint="eastAsia" w:ascii="仿宋_GB2312" w:hAnsi="仿宋_GB2312" w:eastAsia="仿宋_GB2312" w:cs="仿宋_GB2312"/>
          <w:color w:val="auto"/>
          <w:sz w:val="32"/>
          <w:szCs w:val="32"/>
          <w:shd w:val="clear" w:color="auto" w:fill="auto"/>
        </w:rPr>
        <w:t>8、参加会议的公司可准备PPT材料（含方案介绍、服务及集成能力、可用案例、报价等）、技术参数等材料，每公司讲解时间30分钟（含答疑10分钟）；同时上述材料须交予院方留档（发送邮件到wlb@fjzlhospital.com，并提供U盘留档）。</w:t>
      </w:r>
      <w:r>
        <w:rPr>
          <w:color w:val="auto"/>
          <w:shd w:val="clear" w:color="auto" w:fill="auto"/>
        </w:rPr>
        <w:fldChar w:fldCharType="end"/>
      </w:r>
    </w:p>
    <w:p>
      <w:pPr>
        <w:pStyle w:val="12"/>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auto"/>
          <w:spacing w:val="-8"/>
          <w:sz w:val="32"/>
          <w:szCs w:val="32"/>
          <w:shd w:val="clear" w:color="auto" w:fill="auto"/>
        </w:rPr>
      </w:pPr>
      <w:r>
        <w:rPr>
          <w:rFonts w:hint="eastAsia" w:ascii="仿宋_GB2312" w:hAnsi="仿宋_GB2312" w:eastAsia="仿宋_GB2312" w:cs="仿宋_GB2312"/>
          <w:color w:val="auto"/>
          <w:sz w:val="32"/>
          <w:szCs w:val="32"/>
          <w:shd w:val="clear" w:color="auto" w:fill="auto"/>
        </w:rPr>
        <w:t>9、投标人可对投标文件资料的真实性负责，招标人在授予合同之前有权对其投标文件资料进行核实，如发现所提交的资料不真实，招标人将视其为以弄虚作假方式骗取中标，其中标无效，若给招标人造成损失的，可依法承担赔偿责任，并列入医院供可商黑名单，院方有权在今后采购活动中拒绝接受其投标材料。</w:t>
      </w:r>
    </w:p>
    <w:p>
      <w:pPr>
        <w:adjustRightInd w:val="0"/>
        <w:snapToGrid w:val="0"/>
        <w:spacing w:before="150" w:line="590" w:lineRule="exact"/>
        <w:ind w:firstLine="640" w:firstLineChars="200"/>
        <w:rPr>
          <w:rFonts w:ascii="黑体" w:hAnsi="黑体" w:eastAsia="黑体" w:cs="黑体"/>
          <w:b/>
          <w:bCs/>
          <w:color w:val="auto"/>
          <w:sz w:val="32"/>
          <w:szCs w:val="32"/>
          <w:shd w:val="clear" w:color="auto" w:fill="auto"/>
        </w:rPr>
      </w:pPr>
      <w:r>
        <w:rPr>
          <w:rFonts w:hint="eastAsia" w:ascii="黑体" w:hAnsi="黑体" w:eastAsia="黑体" w:cs="黑体"/>
          <w:color w:val="auto"/>
          <w:sz w:val="32"/>
          <w:szCs w:val="32"/>
          <w:shd w:val="clear" w:color="auto" w:fill="auto"/>
        </w:rPr>
        <w:t>六、公告期限</w:t>
      </w:r>
    </w:p>
    <w:p>
      <w:pPr>
        <w:adjustRightInd w:val="0"/>
        <w:snapToGrid w:val="0"/>
        <w:spacing w:before="150" w:line="590" w:lineRule="exact"/>
        <w:ind w:firstLine="640" w:firstLineChars="20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自本公告发布之日起5个工作日</w:t>
      </w:r>
    </w:p>
    <w:p>
      <w:pPr>
        <w:numPr>
          <w:ilvl w:val="0"/>
          <w:numId w:val="2"/>
        </w:numPr>
        <w:adjustRightInd w:val="0"/>
        <w:snapToGrid w:val="0"/>
        <w:spacing w:before="150" w:line="590" w:lineRule="exact"/>
        <w:ind w:firstLine="640" w:firstLineChars="200"/>
        <w:rPr>
          <w:rFonts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其他补充事宜</w:t>
      </w:r>
    </w:p>
    <w:p>
      <w:pPr>
        <w:spacing w:line="590" w:lineRule="exact"/>
        <w:ind w:left="420" w:firstLine="420"/>
        <w:rPr>
          <w:rFonts w:ascii="仿宋_GB2312" w:hAnsi="仿宋_GB2312" w:eastAsia="仿宋_GB2312" w:cs="仿宋_GB2312"/>
          <w:b/>
          <w:bCs/>
          <w:color w:val="auto"/>
          <w:sz w:val="32"/>
          <w:szCs w:val="32"/>
          <w:shd w:val="clear" w:color="auto" w:fill="auto"/>
        </w:rPr>
      </w:pPr>
      <w:r>
        <w:rPr>
          <w:rFonts w:hint="eastAsia" w:ascii="仿宋_GB2312" w:hAnsi="仿宋_GB2312" w:eastAsia="仿宋_GB2312" w:cs="仿宋_GB2312"/>
          <w:b/>
          <w:bCs/>
          <w:color w:val="auto"/>
          <w:sz w:val="32"/>
          <w:szCs w:val="32"/>
          <w:shd w:val="clear" w:color="auto" w:fill="auto"/>
        </w:rPr>
        <w:t>其他要求</w:t>
      </w:r>
    </w:p>
    <w:p>
      <w:pPr>
        <w:pStyle w:val="18"/>
        <w:numPr>
          <w:ilvl w:val="0"/>
          <w:numId w:val="3"/>
        </w:numPr>
        <w:spacing w:before="0" w:beforeAutospacing="0" w:after="0" w:afterAutospacing="0" w:line="48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本项目为交钥匙工程，所有硬件设备的相关线缆</w:t>
      </w:r>
      <w:r>
        <w:rPr>
          <w:rFonts w:hint="eastAsia" w:ascii="仿宋_GB2312" w:hAnsi="仿宋_GB2312" w:eastAsia="仿宋_GB2312" w:cs="仿宋_GB2312"/>
          <w:sz w:val="32"/>
          <w:szCs w:val="32"/>
          <w:lang w:val="en-US" w:eastAsia="zh-CN"/>
        </w:rPr>
        <w:t>等配件</w:t>
      </w:r>
      <w:r>
        <w:rPr>
          <w:rFonts w:hint="eastAsia" w:ascii="仿宋_GB2312" w:hAnsi="仿宋_GB2312" w:eastAsia="仿宋_GB2312" w:cs="仿宋_GB2312"/>
          <w:sz w:val="32"/>
          <w:szCs w:val="32"/>
        </w:rPr>
        <w:t>在招标文件中均未明确列出，必须根据设备实际需要配置相应类型及数量的线缆（诸如电源线、光纤连接线等）。</w:t>
      </w:r>
    </w:p>
    <w:p>
      <w:pPr>
        <w:pStyle w:val="18"/>
        <w:numPr>
          <w:ilvl w:val="0"/>
          <w:numId w:val="4"/>
        </w:numPr>
        <w:spacing w:before="0" w:beforeAutospacing="0" w:after="0" w:afterAutospacing="0" w:line="48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本项目需符合《信息安全技术网络安全等级保护基本要求》GB/T22239-2019（三级）要求（下文简称：三级等保2.0），并在三级等保2.0评审中协助完成评审工作。</w:t>
      </w:r>
    </w:p>
    <w:p>
      <w:pPr>
        <w:pStyle w:val="18"/>
        <w:numPr>
          <w:ilvl w:val="0"/>
          <w:numId w:val="4"/>
        </w:numPr>
        <w:spacing w:before="0" w:beforeAutospacing="0" w:after="0" w:afterAutospacing="0" w:line="480" w:lineRule="atLeast"/>
        <w:ind w:firstLine="640" w:firstLineChars="200"/>
        <w:jc w:val="both"/>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在本项目系统软件使用及维保有效期内，本项目软件在每个使用科室使用的终端数量不受限制，数据不得加密，不得使用加密狗、打印加密、功能加密等任何软件使用约束。</w:t>
      </w:r>
    </w:p>
    <w:p>
      <w:pPr>
        <w:pStyle w:val="18"/>
        <w:numPr>
          <w:ilvl w:val="0"/>
          <w:numId w:val="4"/>
        </w:numPr>
        <w:spacing w:before="0" w:beforeAutospacing="0" w:after="0" w:afterAutospacing="0" w:line="480" w:lineRule="atLeast"/>
        <w:ind w:firstLine="640" w:firstLineChars="200"/>
        <w:jc w:val="both"/>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本项目系统安装调试并经验收合格后，可对采购方的相关人员提供关于系统可用时技术和操作方面的培训。相关培训费用可包含在投标总价中。</w:t>
      </w:r>
    </w:p>
    <w:p>
      <w:pPr>
        <w:pStyle w:val="18"/>
        <w:spacing w:before="0" w:beforeAutospacing="0" w:after="0" w:afterAutospacing="0" w:line="590" w:lineRule="exact"/>
        <w:jc w:val="both"/>
        <w:rPr>
          <w:rFonts w:ascii="仿宋_GB2312" w:hAnsi="仿宋_GB2312" w:eastAsia="仿宋_GB2312" w:cs="仿宋_GB2312"/>
          <w:color w:val="auto"/>
          <w:sz w:val="32"/>
          <w:szCs w:val="32"/>
          <w:shd w:val="clear" w:color="auto" w:fill="auto"/>
        </w:rPr>
      </w:pPr>
    </w:p>
    <w:p>
      <w:pPr>
        <w:adjustRightInd w:val="0"/>
        <w:snapToGrid w:val="0"/>
        <w:spacing w:before="150" w:line="590" w:lineRule="exact"/>
        <w:ind w:firstLine="640" w:firstLineChars="200"/>
        <w:rPr>
          <w:rFonts w:ascii="仿宋_GB2312" w:hAnsi="仿宋_GB2312" w:eastAsia="仿宋_GB2312" w:cs="仿宋_GB2312"/>
          <w:color w:val="auto"/>
          <w:sz w:val="32"/>
          <w:szCs w:val="32"/>
          <w:shd w:val="clear" w:color="auto" w:fill="auto"/>
        </w:rPr>
      </w:pPr>
      <w:r>
        <w:rPr>
          <w:rFonts w:hint="eastAsia" w:ascii="黑体" w:hAnsi="黑体" w:eastAsia="黑体" w:cs="黑体"/>
          <w:color w:val="auto"/>
          <w:sz w:val="32"/>
          <w:szCs w:val="32"/>
          <w:shd w:val="clear" w:color="auto" w:fill="auto"/>
        </w:rPr>
        <w:t>八、评标方法：</w:t>
      </w:r>
      <w:r>
        <w:rPr>
          <w:rFonts w:hint="eastAsia" w:ascii="仿宋_GB2312" w:hAnsi="仿宋_GB2312" w:eastAsia="仿宋_GB2312" w:cs="仿宋_GB2312"/>
          <w:color w:val="auto"/>
          <w:sz w:val="32"/>
          <w:szCs w:val="32"/>
          <w:shd w:val="clear" w:color="auto" w:fill="auto"/>
        </w:rPr>
        <w:t>最低价中标</w:t>
      </w:r>
      <w:r>
        <w:rPr>
          <w:rFonts w:hint="eastAsia" w:ascii="仿宋_GB2312" w:hAnsi="仿宋_GB2312" w:eastAsia="仿宋_GB2312" w:cs="仿宋_GB2312"/>
          <w:bCs/>
          <w:color w:val="auto"/>
          <w:sz w:val="32"/>
          <w:szCs w:val="32"/>
          <w:shd w:val="clear" w:color="auto" w:fill="auto"/>
        </w:rPr>
        <w:t>（符合谈判文件各项要求的且报价最低的投标人）</w:t>
      </w:r>
    </w:p>
    <w:p>
      <w:pPr>
        <w:adjustRightInd w:val="0"/>
        <w:snapToGrid w:val="0"/>
        <w:spacing w:before="150" w:line="590" w:lineRule="exact"/>
        <w:ind w:firstLine="640" w:firstLineChars="200"/>
        <w:rPr>
          <w:rFonts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九、合同签订及主要条款要求（若有附件，可在附件中体现）</w:t>
      </w:r>
    </w:p>
    <w:p>
      <w:pPr>
        <w:adjustRightInd w:val="0"/>
        <w:snapToGrid w:val="0"/>
        <w:spacing w:before="150" w:line="590" w:lineRule="exact"/>
        <w:ind w:firstLine="48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1、合同签订：中标人在接到中标通知后3天内，可派代表与招标人联系，商讨签订合同事宜。</w:t>
      </w:r>
    </w:p>
    <w:p>
      <w:pPr>
        <w:adjustRightInd w:val="0"/>
        <w:snapToGrid w:val="0"/>
        <w:spacing w:before="150" w:line="590" w:lineRule="exact"/>
        <w:ind w:firstLine="48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2、如付款方式与条件等</w:t>
      </w:r>
    </w:p>
    <w:p>
      <w:pPr>
        <w:adjustRightInd w:val="0"/>
        <w:snapToGrid w:val="0"/>
        <w:spacing w:before="150" w:line="590" w:lineRule="exact"/>
        <w:ind w:firstLine="480"/>
        <w:rPr>
          <w:rFonts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十、联系方式</w:t>
      </w:r>
    </w:p>
    <w:p>
      <w:pPr>
        <w:adjustRightInd w:val="0"/>
        <w:snapToGrid w:val="0"/>
        <w:spacing w:before="150" w:line="590" w:lineRule="exact"/>
        <w:ind w:firstLine="640" w:firstLineChars="20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1、凡有意参加投标者，请于</w:t>
      </w:r>
      <w:r>
        <w:rPr>
          <w:rFonts w:hint="eastAsia" w:ascii="仿宋_GB2312" w:hAnsi="仿宋_GB2312" w:eastAsia="仿宋_GB2312" w:cs="仿宋_GB2312"/>
          <w:color w:val="auto"/>
          <w:sz w:val="32"/>
          <w:szCs w:val="32"/>
          <w:shd w:val="clear" w:color="auto" w:fill="auto"/>
          <w:lang w:eastAsia="zh-CN"/>
        </w:rPr>
        <w:t>2025</w:t>
      </w:r>
      <w:r>
        <w:rPr>
          <w:rFonts w:hint="eastAsia" w:ascii="仿宋_GB2312" w:hAnsi="仿宋_GB2312" w:eastAsia="仿宋_GB2312" w:cs="仿宋_GB2312"/>
          <w:color w:val="auto"/>
          <w:sz w:val="32"/>
          <w:szCs w:val="32"/>
          <w:shd w:val="clear" w:color="auto" w:fill="auto"/>
        </w:rPr>
        <w:t>年</w:t>
      </w: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rPr>
        <w:t>月</w:t>
      </w:r>
      <w:r>
        <w:rPr>
          <w:rFonts w:hint="eastAsia" w:ascii="仿宋_GB2312" w:hAnsi="仿宋_GB2312" w:eastAsia="仿宋_GB2312" w:cs="仿宋_GB2312"/>
          <w:color w:val="auto"/>
          <w:sz w:val="32"/>
          <w:szCs w:val="32"/>
          <w:shd w:val="clear" w:color="auto" w:fill="auto"/>
          <w:lang w:val="en-US" w:eastAsia="zh-CN"/>
        </w:rPr>
        <w:t>6</w:t>
      </w:r>
      <w:r>
        <w:rPr>
          <w:rFonts w:hint="eastAsia" w:ascii="仿宋_GB2312" w:hAnsi="仿宋_GB2312" w:eastAsia="仿宋_GB2312" w:cs="仿宋_GB2312"/>
          <w:color w:val="auto"/>
          <w:sz w:val="32"/>
          <w:szCs w:val="32"/>
          <w:shd w:val="clear" w:color="auto" w:fill="auto"/>
        </w:rPr>
        <w:t xml:space="preserve">日至 </w:t>
      </w:r>
      <w:r>
        <w:rPr>
          <w:rFonts w:hint="eastAsia" w:ascii="仿宋_GB2312" w:hAnsi="仿宋_GB2312" w:eastAsia="仿宋_GB2312" w:cs="仿宋_GB2312"/>
          <w:color w:val="auto"/>
          <w:sz w:val="32"/>
          <w:szCs w:val="32"/>
          <w:shd w:val="clear" w:color="auto" w:fill="auto"/>
          <w:lang w:eastAsia="zh-CN"/>
        </w:rPr>
        <w:t>2025</w:t>
      </w:r>
      <w:r>
        <w:rPr>
          <w:rFonts w:hint="eastAsia" w:ascii="仿宋_GB2312" w:hAnsi="仿宋_GB2312" w:eastAsia="仿宋_GB2312" w:cs="仿宋_GB2312"/>
          <w:color w:val="auto"/>
          <w:sz w:val="32"/>
          <w:szCs w:val="32"/>
          <w:shd w:val="clear" w:color="auto" w:fill="auto"/>
        </w:rPr>
        <w:t>年</w:t>
      </w: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rPr>
        <w:t>月</w:t>
      </w:r>
      <w:r>
        <w:rPr>
          <w:rFonts w:hint="eastAsia" w:ascii="仿宋_GB2312" w:hAnsi="仿宋_GB2312" w:eastAsia="仿宋_GB2312" w:cs="仿宋_GB2312"/>
          <w:color w:val="auto"/>
          <w:sz w:val="32"/>
          <w:szCs w:val="32"/>
          <w:shd w:val="clear" w:color="auto" w:fill="auto"/>
          <w:lang w:val="en-US" w:eastAsia="zh-CN"/>
        </w:rPr>
        <w:t>10</w:t>
      </w:r>
      <w:r>
        <w:rPr>
          <w:rFonts w:hint="eastAsia" w:ascii="仿宋_GB2312" w:hAnsi="仿宋_GB2312" w:eastAsia="仿宋_GB2312" w:cs="仿宋_GB2312"/>
          <w:color w:val="auto"/>
          <w:sz w:val="32"/>
          <w:szCs w:val="32"/>
          <w:shd w:val="clear" w:color="auto" w:fill="auto"/>
        </w:rPr>
        <w:t>日(节假日除外)8：00-12：00或14：</w:t>
      </w:r>
      <w:r>
        <w:rPr>
          <w:rFonts w:hint="eastAsia" w:ascii="仿宋_GB2312" w:hAnsi="仿宋_GB2312" w:eastAsia="仿宋_GB2312" w:cs="仿宋_GB2312"/>
          <w:color w:val="auto"/>
          <w:sz w:val="32"/>
          <w:szCs w:val="32"/>
          <w:shd w:val="clear" w:color="auto" w:fill="auto"/>
          <w:lang w:val="en-US" w:eastAsia="zh-CN"/>
        </w:rPr>
        <w:t>0</w:t>
      </w:r>
      <w:r>
        <w:rPr>
          <w:rFonts w:hint="eastAsia" w:ascii="仿宋_GB2312" w:hAnsi="仿宋_GB2312" w:eastAsia="仿宋_GB2312" w:cs="仿宋_GB2312"/>
          <w:color w:val="auto"/>
          <w:sz w:val="32"/>
          <w:szCs w:val="32"/>
          <w:shd w:val="clear" w:color="auto" w:fill="auto"/>
        </w:rPr>
        <w:t>0-17：</w:t>
      </w:r>
      <w:r>
        <w:rPr>
          <w:rFonts w:hint="eastAsia" w:ascii="仿宋_GB2312" w:hAnsi="仿宋_GB2312" w:eastAsia="仿宋_GB2312" w:cs="仿宋_GB2312"/>
          <w:color w:val="auto"/>
          <w:sz w:val="32"/>
          <w:szCs w:val="32"/>
          <w:shd w:val="clear" w:color="auto" w:fill="auto"/>
          <w:lang w:val="en-US" w:eastAsia="zh-CN"/>
        </w:rPr>
        <w:t>0</w:t>
      </w:r>
      <w:r>
        <w:rPr>
          <w:rFonts w:hint="eastAsia" w:ascii="仿宋_GB2312" w:hAnsi="仿宋_GB2312" w:eastAsia="仿宋_GB2312" w:cs="仿宋_GB2312"/>
          <w:color w:val="auto"/>
          <w:sz w:val="32"/>
          <w:szCs w:val="32"/>
          <w:shd w:val="clear" w:color="auto" w:fill="auto"/>
        </w:rPr>
        <w:t>0，携带加盖公章的营业执照复印件、个人授权函（需加盖供可商公章，含联系方式）和身份证复印件前往福建省肿瘤医院网络技术中心报名。</w:t>
      </w:r>
    </w:p>
    <w:p>
      <w:pPr>
        <w:adjustRightInd w:val="0"/>
        <w:snapToGrid w:val="0"/>
        <w:spacing w:before="150" w:line="590" w:lineRule="exact"/>
        <w:ind w:firstLine="640" w:firstLineChars="20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项目联系人：</w:t>
      </w:r>
      <w:r>
        <w:rPr>
          <w:rFonts w:hint="eastAsia" w:ascii="仿宋_GB2312" w:hAnsi="仿宋_GB2312" w:eastAsia="仿宋_GB2312" w:cs="仿宋_GB2312"/>
          <w:color w:val="auto"/>
          <w:sz w:val="32"/>
          <w:szCs w:val="32"/>
          <w:shd w:val="clear" w:color="auto" w:fill="auto"/>
          <w:lang w:val="en-US" w:eastAsia="zh-CN"/>
        </w:rPr>
        <w:t>钱工、</w:t>
      </w:r>
      <w:r>
        <w:rPr>
          <w:rFonts w:hint="eastAsia" w:ascii="仿宋_GB2312" w:hAnsi="仿宋_GB2312" w:eastAsia="仿宋_GB2312" w:cs="仿宋_GB2312"/>
          <w:color w:val="auto"/>
          <w:sz w:val="32"/>
          <w:szCs w:val="32"/>
          <w:shd w:val="clear" w:color="auto" w:fill="auto"/>
        </w:rPr>
        <w:t>金工</w:t>
      </w:r>
      <w:bookmarkStart w:id="0" w:name="_GoBack"/>
      <w:bookmarkEnd w:id="0"/>
    </w:p>
    <w:p>
      <w:pPr>
        <w:adjustRightInd w:val="0"/>
        <w:snapToGrid w:val="0"/>
        <w:spacing w:before="150" w:line="590" w:lineRule="exact"/>
        <w:ind w:firstLine="640" w:firstLineChars="20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联系电话： 0591-83660063-8822</w:t>
      </w:r>
    </w:p>
    <w:p>
      <w:pPr>
        <w:numPr>
          <w:ilvl w:val="0"/>
          <w:numId w:val="5"/>
        </w:numPr>
        <w:adjustRightInd w:val="0"/>
        <w:snapToGrid w:val="0"/>
        <w:spacing w:before="150" w:line="590" w:lineRule="exact"/>
        <w:ind w:firstLine="640" w:firstLineChars="200"/>
        <w:rPr>
          <w:rFonts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 xml:space="preserve">监督电话 </w:t>
      </w:r>
    </w:p>
    <w:p>
      <w:pPr>
        <w:adjustRightInd w:val="0"/>
        <w:snapToGrid w:val="0"/>
        <w:spacing w:before="150" w:line="590" w:lineRule="exact"/>
        <w:ind w:firstLine="640" w:firstLineChars="20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采购报名、采购调研等采购过程中有任何异议，可联系我院监督科室。电话：83660063-8407；83660063-8467。</w:t>
      </w:r>
    </w:p>
    <w:p>
      <w:pPr>
        <w:adjustRightInd w:val="0"/>
        <w:snapToGrid w:val="0"/>
        <w:spacing w:before="150" w:line="590" w:lineRule="exact"/>
        <w:ind w:firstLine="48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 xml:space="preserve"> 附件（招标内容及要求）</w:t>
      </w:r>
    </w:p>
    <w:p>
      <w:pPr>
        <w:adjustRightInd w:val="0"/>
        <w:snapToGrid w:val="0"/>
        <w:spacing w:before="150" w:line="590" w:lineRule="exact"/>
        <w:ind w:firstLine="48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备注：附件或招</w:t>
      </w:r>
      <w:r>
        <w:rPr>
          <w:rFonts w:hint="eastAsia" w:ascii="仿宋_GB2312" w:hAnsi="仿宋_GB2312" w:eastAsia="仿宋_GB2312" w:cs="仿宋_GB2312"/>
          <w:color w:val="auto"/>
          <w:sz w:val="32"/>
          <w:szCs w:val="32"/>
          <w:shd w:val="clear" w:color="auto" w:fill="auto"/>
        </w:rPr>
        <w:t>标内容及要求填写技术规格需求、评分标准验收标准、安装及调试、培训要求、质量保证、售后服务要求、技术资料要求、备品备件、交货期、付款方式及主要合同条款）。</w:t>
      </w:r>
    </w:p>
    <w:p>
      <w:pPr>
        <w:keepNext/>
        <w:widowControl/>
        <w:shd w:val="clear" w:color="auto" w:fill="FFFFFF"/>
        <w:autoSpaceDE w:val="0"/>
        <w:spacing w:before="120" w:after="120" w:line="590" w:lineRule="exact"/>
        <w:rPr>
          <w:rFonts w:hint="eastAsia" w:ascii="仿宋_GB2312" w:hAnsi="仿宋_GB2312" w:eastAsia="仿宋_GB2312" w:cs="仿宋_GB2312"/>
          <w:b/>
          <w:color w:val="auto"/>
          <w:sz w:val="32"/>
          <w:szCs w:val="32"/>
          <w:shd w:val="clear" w:color="auto" w:fill="auto"/>
        </w:rPr>
      </w:pPr>
      <w:r>
        <w:rPr>
          <w:rFonts w:hint="eastAsia" w:ascii="仿宋_GB2312" w:hAnsi="仿宋_GB2312" w:eastAsia="仿宋_GB2312" w:cs="仿宋_GB2312"/>
          <w:bCs/>
          <w:color w:val="auto"/>
          <w:kern w:val="0"/>
          <w:sz w:val="32"/>
          <w:szCs w:val="32"/>
          <w:shd w:val="clear" w:color="auto" w:fill="auto"/>
        </w:rPr>
        <w:t>主要技术功能及服务要求</w:t>
      </w:r>
    </w:p>
    <w:tbl>
      <w:tblPr>
        <w:tblW w:w="84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838"/>
        <w:gridCol w:w="851"/>
        <w:gridCol w:w="58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784" w:hRule="atLeast"/>
          <w:jc w:val="center"/>
        </w:trPr>
        <w:tc>
          <w:tcPr>
            <w:tcW w:w="1838" w:type="dxa"/>
            <w:shd w:val="clear" w:color="FFFFFF" w:fill="auto"/>
            <w:vAlign w:val="center"/>
          </w:tcPr>
          <w:p>
            <w:pPr>
              <w:adjustRightInd w:val="0"/>
              <w:snapToGrid w:val="0"/>
              <w:jc w:val="center"/>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设 备 名 称</w:t>
            </w:r>
          </w:p>
        </w:tc>
        <w:tc>
          <w:tcPr>
            <w:tcW w:w="851" w:type="dxa"/>
            <w:shd w:val="clear" w:color="FFFFFF" w:fill="auto"/>
            <w:vAlign w:val="center"/>
          </w:tcPr>
          <w:p>
            <w:pPr>
              <w:adjustRightInd w:val="0"/>
              <w:snapToGrid w:val="0"/>
              <w:jc w:val="center"/>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数量</w:t>
            </w:r>
          </w:p>
        </w:tc>
        <w:tc>
          <w:tcPr>
            <w:tcW w:w="5807" w:type="dxa"/>
            <w:shd w:val="clear" w:color="FFFFFF" w:fill="auto"/>
            <w:vAlign w:val="center"/>
          </w:tcPr>
          <w:p>
            <w:pPr>
              <w:adjustRightInd w:val="0"/>
              <w:snapToGrid w:val="0"/>
              <w:jc w:val="center"/>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主要技术规格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733" w:hRule="atLeast"/>
          <w:jc w:val="center"/>
        </w:trPr>
        <w:tc>
          <w:tcPr>
            <w:tcW w:w="1838" w:type="dxa"/>
            <w:vAlign w:val="center"/>
          </w:tcPr>
          <w:p>
            <w:pPr>
              <w:adjustRightInd w:val="0"/>
              <w:snapToGrid w:val="0"/>
              <w:jc w:val="center"/>
              <w:rPr>
                <w:rFonts w:ascii="仿宋_GB2312" w:hAnsi="仿宋_GB2312" w:eastAsia="仿宋_GB2312" w:cs="仿宋_GB2312"/>
                <w:color w:val="auto"/>
                <w:sz w:val="28"/>
                <w:szCs w:val="28"/>
                <w:shd w:val="clear" w:color="auto" w:fill="auto"/>
              </w:rPr>
            </w:pPr>
            <w:r>
              <w:rPr>
                <w:rFonts w:hint="eastAsia" w:ascii="宋体" w:hAnsi="宋体" w:cs="宋体"/>
                <w:color w:val="auto"/>
                <w:szCs w:val="21"/>
                <w:shd w:val="clear" w:color="auto" w:fill="auto"/>
              </w:rPr>
              <w:t>人脸门禁一体机</w:t>
            </w:r>
          </w:p>
        </w:tc>
        <w:tc>
          <w:tcPr>
            <w:tcW w:w="851" w:type="dxa"/>
            <w:vAlign w:val="center"/>
          </w:tcPr>
          <w:p>
            <w:pPr>
              <w:adjustRightInd w:val="0"/>
              <w:snapToGrid w:val="0"/>
              <w:jc w:val="center"/>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w:t>
            </w:r>
          </w:p>
        </w:tc>
        <w:tc>
          <w:tcPr>
            <w:tcW w:w="5807" w:type="dxa"/>
            <w:vAlign w:val="top"/>
          </w:tcPr>
          <w:p>
            <w:pPr>
              <w:pStyle w:val="12"/>
              <w:widowControl/>
              <w:numPr>
                <w:ilvl w:val="0"/>
                <w:numId w:val="6"/>
              </w:numPr>
              <w:wordWrap w:val="0"/>
              <w:spacing w:beforeAutospacing="0" w:afterAutospacing="0" w:line="480" w:lineRule="atLeast"/>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设备可采用嵌入式 linux 系统。</w:t>
            </w:r>
            <w:r>
              <w:rPr>
                <w:rFonts w:hint="eastAsia" w:ascii="宋体" w:hAnsi="宋体" w:cs="宋体"/>
                <w:color w:val="auto"/>
                <w:sz w:val="21"/>
                <w:szCs w:val="21"/>
                <w:highlight w:val="none"/>
                <w:shd w:val="clear" w:color="auto" w:fill="auto"/>
              </w:rPr>
              <w:br/>
            </w:r>
            <w:r>
              <w:rPr>
                <w:rFonts w:hint="eastAsia" w:ascii="宋体" w:hAnsi="宋体" w:cs="宋体"/>
                <w:color w:val="auto"/>
                <w:sz w:val="21"/>
                <w:szCs w:val="21"/>
                <w:highlight w:val="none"/>
                <w:shd w:val="clear" w:color="auto" w:fill="auto"/>
              </w:rPr>
              <w:t>2. 前面板防破坏能力可满足 IK07 的要求；结构后壳防破坏能力可满足 IK10 的要求；防水等级可满足IP66防护等级；可支持选择嵌入式、壁挂、桌面、立式、人员通道安装；</w:t>
            </w:r>
            <w:r>
              <w:rPr>
                <w:rFonts w:hint="eastAsia" w:ascii="宋体" w:hAnsi="宋体" w:cs="宋体"/>
                <w:color w:val="auto"/>
                <w:sz w:val="21"/>
                <w:szCs w:val="21"/>
                <w:highlight w:val="none"/>
                <w:shd w:val="clear" w:color="auto" w:fill="auto"/>
              </w:rPr>
              <w:br/>
            </w:r>
            <w:r>
              <w:rPr>
                <w:rFonts w:hint="eastAsia" w:ascii="宋体" w:hAnsi="宋体" w:cs="宋体"/>
                <w:color w:val="auto"/>
                <w:sz w:val="21"/>
                <w:szCs w:val="21"/>
                <w:highlight w:val="none"/>
                <w:shd w:val="clear" w:color="auto" w:fill="auto"/>
              </w:rPr>
              <w:t>3.可满足不少于以下硬件接口及能力：1.LAN╳1，支持 10M/100M/1000M 网络自适可配置；2.RS-485 串口╳1 个；3.输入、输出韦根接口╳1 个（平台可配置）；4.USB 接口╳2 个，包括 type C 接口、micro USB 接口和普通 USB 连接口（需扩展线）；5.内置扬声器╳1 个；6.门锁 I/O 输出╳1 个；7.门磁 I/O 输入╳1 个；8.开门按钮 I/O 输入╳1 个；9.报警 I/O 输出╳1 个；10.报警事件 I/O 输入╳2 个；11.micro SIM 卡槽╳1 个；12.机械防拆开关╳1 个；13.支持 3.5mm 音频输出接口╳1 个；14.支持 micro SD 卡槽扩展；15.支持 MIC 音频输入采集。</w:t>
            </w:r>
            <w:r>
              <w:rPr>
                <w:rFonts w:hint="eastAsia" w:ascii="宋体" w:hAnsi="宋体" w:cs="宋体"/>
                <w:color w:val="auto"/>
                <w:sz w:val="21"/>
                <w:szCs w:val="21"/>
                <w:highlight w:val="none"/>
                <w:shd w:val="clear" w:color="auto" w:fill="auto"/>
              </w:rPr>
              <w:br/>
            </w:r>
            <w:r>
              <w:rPr>
                <w:rFonts w:hint="eastAsia" w:ascii="宋体" w:hAnsi="宋体" w:cs="宋体"/>
                <w:color w:val="auto"/>
                <w:sz w:val="21"/>
                <w:szCs w:val="21"/>
                <w:highlight w:val="none"/>
                <w:shd w:val="clear" w:color="auto" w:fill="auto"/>
              </w:rPr>
              <w:t>4. 屏幕为 ≥7 英寸触摸屏；可采用水滴屏全贴合工艺；玻璃屏占比≥90%。屏幕流明度≥600cd/m2；屏幕分辨率可不低于600*1024；屏显下端可具有圆形指示灯，指示灯可支持固定频率的亮起和熄灭（呼吸状态）及识别状态提示。</w:t>
            </w:r>
            <w:r>
              <w:rPr>
                <w:rFonts w:hint="eastAsia" w:ascii="宋体" w:hAnsi="宋体" w:cs="宋体"/>
                <w:color w:val="auto"/>
                <w:sz w:val="21"/>
                <w:szCs w:val="21"/>
                <w:highlight w:val="none"/>
                <w:shd w:val="clear" w:color="auto" w:fill="auto"/>
              </w:rPr>
              <w:br/>
            </w:r>
            <w:r>
              <w:rPr>
                <w:rFonts w:hint="eastAsia" w:ascii="宋体" w:hAnsi="宋体" w:cs="宋体"/>
                <w:color w:val="auto"/>
                <w:sz w:val="21"/>
                <w:szCs w:val="21"/>
                <w:highlight w:val="none"/>
                <w:shd w:val="clear" w:color="auto" w:fill="auto"/>
              </w:rPr>
              <w:t>5. 可在 0.001lux 低照度无补光环境下正常实现人脸识别，可在强光、逆光、暗光环境条件的人脸识别；在无可见光补光及低照度环境下实现全彩图输出预览图像；可支持防假体攻击功能，对视频、电子照片、打印照片、头模、3D 模型攻击应能防伪；显示图像具有美颜功能，美颜功能开启后支持美白参数及磨皮参数配置；可支持 5 个人脸同时做人脸识别，并分别输出比对结果；人脸识别垂直及水平区域范围可设置 ，可支持人脸在上下、左右角度偏转±45°范围内识别；可支持人脸识别角度调节范围 0°～90°自由设置，可支持不低于 5 个人脸比对阈值设置，可支持通过 WEB 端进行设备信息查询、用户信息管理、设备时间管理、系统维护、安全操作管理、人脸或指纹等技术参数配置、 设备图像参数配置、图像美颜参数配置、梯控项目配置、待机广告界面图片下发及播放时间配置、比对结果提示语音自定义配置，支持按时段配置自定义语音，每天最大支持8 个时段自定义， 可支持设备本地人脸注册；可支持远程下发人脸、APP 采集人脸并注册下发；可支持本地 U 盘导入人员信息；支持中心下发黑名单信息，具有本地黑名单事件报警功能，报警信息可上传至平台；设备支持本地 U 盘升级、在线远程升级功能。根据设定事件的联动关系，当检测到该事件发生时，可触发对可的动作；发生以下情况时，系统可报警：1.当连续若干次在目标信息识读设备或管理/控制部分上实施错误操作时；2.未经正常操作而使出入口开启时；3.出入口开启时间超过设定值时；4.设备被拆除时；5.胁迫卡和胁迫码；6.黑名单卡刷卡时；7.设备在被异常拆除或破坏时；8.设备可具有 2 路入侵探测接口，能联动报警输出。</w:t>
            </w:r>
            <w:r>
              <w:rPr>
                <w:rFonts w:hint="eastAsia" w:ascii="宋体" w:hAnsi="宋体" w:cs="宋体"/>
                <w:color w:val="auto"/>
                <w:sz w:val="21"/>
                <w:szCs w:val="21"/>
                <w:highlight w:val="none"/>
                <w:shd w:val="clear" w:color="auto" w:fill="auto"/>
              </w:rPr>
              <w:br/>
            </w:r>
            <w:r>
              <w:rPr>
                <w:rFonts w:hint="eastAsia" w:ascii="宋体" w:hAnsi="宋体" w:cs="宋体"/>
                <w:color w:val="auto"/>
                <w:sz w:val="21"/>
                <w:szCs w:val="21"/>
                <w:highlight w:val="none"/>
                <w:shd w:val="clear" w:color="auto" w:fill="auto"/>
              </w:rPr>
              <w:t>6. TCP/IP 有线网络通信，可支持 10M/100M/1000M 网络自适可配置，可支持局域网、互联网环境的网络通信；可支持 TCP/IP 有线网络通信，可支持通过 IPV4 或 IPV6 网络地址登录。</w:t>
            </w:r>
            <w:r>
              <w:rPr>
                <w:rFonts w:hint="eastAsia" w:ascii="宋体" w:hAnsi="宋体" w:cs="宋体"/>
                <w:color w:val="auto"/>
                <w:sz w:val="21"/>
                <w:szCs w:val="21"/>
                <w:highlight w:val="none"/>
                <w:shd w:val="clear" w:color="auto" w:fill="auto"/>
              </w:rPr>
              <w:br/>
            </w:r>
            <w:r>
              <w:rPr>
                <w:rFonts w:hint="eastAsia" w:ascii="宋体" w:hAnsi="宋体" w:cs="宋体"/>
                <w:color w:val="auto"/>
                <w:sz w:val="21"/>
                <w:szCs w:val="21"/>
                <w:highlight w:val="none"/>
                <w:shd w:val="clear" w:color="auto" w:fill="auto"/>
              </w:rPr>
              <w:t>8. 可采用 200W 像素双目摄像头，帧率可≥25 帧/s；可支持接入 NVR 设备，实现视频监控录像；</w:t>
            </w:r>
            <w:r>
              <w:rPr>
                <w:rFonts w:hint="eastAsia" w:ascii="宋体" w:hAnsi="宋体" w:cs="宋体"/>
                <w:color w:val="auto"/>
                <w:sz w:val="21"/>
                <w:szCs w:val="21"/>
                <w:highlight w:val="none"/>
                <w:shd w:val="clear" w:color="auto" w:fill="auto"/>
              </w:rPr>
              <w:br/>
            </w:r>
            <w:r>
              <w:rPr>
                <w:rFonts w:hint="eastAsia" w:ascii="宋体" w:hAnsi="宋体" w:cs="宋体"/>
                <w:color w:val="auto"/>
                <w:sz w:val="21"/>
                <w:szCs w:val="21"/>
                <w:highlight w:val="none"/>
                <w:shd w:val="clear" w:color="auto" w:fill="auto"/>
              </w:rPr>
              <w:t>9. 可支持双码流技术，主码流和子码流均为 1280×720@25fps 输出；在 IE 浏览器下，视频编码格式具有 H.265、H.264、MPEG-4、MJPEG 设置选项；可将 H.265、H.264 格式设置为Baseline/Mai n/High Profile。</w:t>
            </w:r>
            <w:r>
              <w:rPr>
                <w:rFonts w:hint="eastAsia" w:ascii="宋体" w:hAnsi="宋体" w:cs="宋体"/>
                <w:color w:val="auto"/>
                <w:sz w:val="21"/>
                <w:szCs w:val="21"/>
                <w:highlight w:val="none"/>
                <w:shd w:val="clear" w:color="auto" w:fill="auto"/>
              </w:rPr>
              <w:br/>
            </w:r>
            <w:r>
              <w:rPr>
                <w:rFonts w:hint="eastAsia" w:ascii="宋体" w:hAnsi="宋体" w:cs="宋体"/>
                <w:color w:val="auto"/>
                <w:sz w:val="21"/>
                <w:szCs w:val="21"/>
                <w:highlight w:val="none"/>
                <w:shd w:val="clear" w:color="auto" w:fill="auto"/>
              </w:rPr>
              <w:t>10. 设备离线可支持 10000个用户（用户权限可配置为管理员）、 10000 张人脸库、 50000 张卡片容量、150000 笔记录存储 、 10000 个密码</w:t>
            </w:r>
            <w:r>
              <w:rPr>
                <w:rFonts w:hint="eastAsia" w:ascii="宋体" w:hAnsi="宋体" w:cs="宋体"/>
                <w:color w:val="auto"/>
                <w:sz w:val="21"/>
                <w:szCs w:val="21"/>
                <w:highlight w:val="none"/>
                <w:shd w:val="clear" w:color="auto" w:fill="auto"/>
              </w:rPr>
              <w:br/>
            </w:r>
            <w:r>
              <w:rPr>
                <w:rFonts w:hint="eastAsia" w:ascii="宋体" w:hAnsi="宋体" w:cs="宋体"/>
                <w:color w:val="auto"/>
                <w:sz w:val="21"/>
                <w:szCs w:val="21"/>
                <w:highlight w:val="none"/>
                <w:shd w:val="clear" w:color="auto" w:fill="auto"/>
              </w:rPr>
              <w:t>11. 可支持通过文字转换为提示语音的 TTS 功能；可支持本地广告信息播放；可支持广告节目编排播放，播放时间可自定义；可支持图片、文字、视频广告节目播放；可支持在设备端查看人员信息、设备状态、显示模式（认证模式、广告模式和简洁模式）。</w:t>
            </w:r>
            <w:r>
              <w:rPr>
                <w:rFonts w:hint="eastAsia" w:ascii="宋体" w:hAnsi="宋体" w:cs="宋体"/>
                <w:color w:val="auto"/>
                <w:sz w:val="21"/>
                <w:szCs w:val="21"/>
                <w:highlight w:val="none"/>
                <w:shd w:val="clear" w:color="auto" w:fill="auto"/>
              </w:rPr>
              <w:br/>
            </w:r>
            <w:r>
              <w:rPr>
                <w:rFonts w:hint="eastAsia" w:ascii="宋体" w:hAnsi="宋体" w:cs="宋体"/>
                <w:color w:val="auto"/>
                <w:sz w:val="21"/>
                <w:szCs w:val="21"/>
                <w:highlight w:val="none"/>
                <w:shd w:val="clear" w:color="auto" w:fill="auto"/>
              </w:rPr>
              <w:t>12. 可支持佩戴口罩情况下的人脸识别功能，提示模式可分为提醒模式或强制模式；提醒模式下，未佩戴口罩时，可做身份验证及考勤签到，身份验证通过后提醒佩戴口罩；强制模式下未佩戴口罩时，可无法做身份验证，并提醒佩戴口罩。</w:t>
            </w:r>
            <w:r>
              <w:rPr>
                <w:rFonts w:hint="eastAsia" w:ascii="宋体" w:hAnsi="宋体" w:cs="宋体"/>
                <w:color w:val="auto"/>
                <w:sz w:val="21"/>
                <w:szCs w:val="21"/>
                <w:highlight w:val="none"/>
                <w:shd w:val="clear" w:color="auto" w:fill="auto"/>
              </w:rPr>
              <w:br/>
            </w:r>
            <w:r>
              <w:rPr>
                <w:rFonts w:hint="eastAsia" w:ascii="宋体" w:hAnsi="宋体" w:cs="宋体"/>
                <w:color w:val="auto"/>
                <w:sz w:val="21"/>
                <w:szCs w:val="21"/>
                <w:highlight w:val="none"/>
                <w:shd w:val="clear" w:color="auto" w:fill="auto"/>
              </w:rPr>
              <w:t>13. 可支持根据比对结果，输出开关量信号联动门禁等设备；支持通过 RS-485 接口或 Wiegand 接口外接读卡器，实现刷卡功能；支持通过 RS-485 接口或 Wiegand 接口外接门禁一体机；支持通过网络或 RS-485 与电梯做联动控制；支持联动电梯实现呼梯和楼层权限控制。</w:t>
            </w:r>
            <w:r>
              <w:rPr>
                <w:rFonts w:hint="eastAsia" w:ascii="宋体" w:hAnsi="宋体" w:cs="宋体"/>
                <w:color w:val="auto"/>
                <w:sz w:val="21"/>
                <w:szCs w:val="21"/>
                <w:highlight w:val="none"/>
                <w:shd w:val="clear" w:color="auto" w:fill="auto"/>
              </w:rPr>
              <w:br/>
            </w:r>
            <w:r>
              <w:rPr>
                <w:rFonts w:hint="eastAsia" w:ascii="宋体" w:hAnsi="宋体" w:cs="宋体"/>
                <w:color w:val="auto"/>
                <w:sz w:val="21"/>
                <w:szCs w:val="21"/>
                <w:highlight w:val="none"/>
                <w:shd w:val="clear" w:color="auto" w:fill="auto"/>
              </w:rPr>
              <w:t>14.人脸比对平均时间＜120ms （1:1对比方式）；最大人脸识别距离：＞4m；最小人脸识别距离：＜0.2m；认假率（FAR）= 认假总次数/负样本对×100%；拒真率（FRR）= 拒真总次数/正样本对×100%；准确率=（正样本通过次数+负样本拒绝次数）/比对总次数×100%；FAR＜0.0002% ；FRR＜1%；准确率＞99.95%</w:t>
            </w:r>
            <w:r>
              <w:rPr>
                <w:rFonts w:hint="eastAsia" w:ascii="宋体" w:hAnsi="宋体" w:cs="宋体"/>
                <w:color w:val="auto"/>
                <w:sz w:val="21"/>
                <w:szCs w:val="21"/>
                <w:highlight w:val="none"/>
                <w:shd w:val="clear" w:color="auto" w:fill="auto"/>
              </w:rPr>
              <w:br/>
            </w:r>
            <w:r>
              <w:rPr>
                <w:rFonts w:hint="eastAsia" w:ascii="宋体" w:hAnsi="宋体" w:cs="宋体"/>
                <w:color w:val="auto"/>
                <w:sz w:val="21"/>
                <w:szCs w:val="21"/>
                <w:highlight w:val="none"/>
                <w:shd w:val="clear" w:color="auto" w:fill="auto"/>
              </w:rPr>
              <w:t>15. 可支持本地非明文存储比对结果、身份信息及抓拍人脸照片；可支持实时非明文上传比对结果、身份信息及抓拍人脸照片等至管理中心；可支持断网续传离线记录非明文数据功能；可支持对 USB 导出数据（事件记录及人脸等）可采用非明文方案；可支持抓拍图片本地存储功能开启/关闭；支持抓拍图片上传管理平台软件功能开启/关闭；可支持设备本地比对结果用户信息脱敏显示功能开启/关闭，即隐藏姓名和工号信息；用户数据及比对记录采用非明文方式导出。</w:t>
            </w:r>
            <w:r>
              <w:rPr>
                <w:rFonts w:hint="eastAsia" w:ascii="宋体" w:hAnsi="宋体" w:cs="宋体"/>
                <w:color w:val="auto"/>
                <w:sz w:val="21"/>
                <w:szCs w:val="21"/>
                <w:highlight w:val="none"/>
                <w:shd w:val="clear" w:color="auto" w:fill="auto"/>
              </w:rPr>
              <w:br/>
            </w:r>
            <w:r>
              <w:rPr>
                <w:rFonts w:hint="eastAsia" w:ascii="宋体" w:hAnsi="宋体" w:cs="宋体"/>
                <w:color w:val="auto"/>
                <w:sz w:val="21"/>
                <w:szCs w:val="21"/>
                <w:highlight w:val="none"/>
                <w:shd w:val="clear" w:color="auto" w:fill="auto"/>
              </w:rPr>
              <w:t>16. 可支持在没有用户使用时自动切换到屏保或息屏待机状态，人员靠近自动唤醒待机设备，唤醒距离应能调节；可采用软硬件低功耗管理模式，设备待机运行功耗可不超过 6W。</w:t>
            </w:r>
            <w:r>
              <w:rPr>
                <w:rFonts w:hint="eastAsia" w:ascii="宋体" w:hAnsi="宋体" w:cs="宋体"/>
                <w:color w:val="auto"/>
                <w:sz w:val="21"/>
                <w:szCs w:val="21"/>
                <w:highlight w:val="none"/>
                <w:shd w:val="clear" w:color="auto" w:fill="auto"/>
              </w:rPr>
              <w:br/>
            </w:r>
            <w:r>
              <w:rPr>
                <w:rFonts w:hint="eastAsia" w:ascii="宋体" w:hAnsi="宋体" w:cs="宋体"/>
                <w:color w:val="auto"/>
                <w:sz w:val="21"/>
                <w:szCs w:val="21"/>
                <w:highlight w:val="none"/>
                <w:shd w:val="clear" w:color="auto" w:fill="auto"/>
              </w:rPr>
              <w:t>17. 系统可对门的开启方式，卡（人脸、密码）的各种使用权限进行组合设置，实现不同场景的权限管理：多重卡认证开门；多重卡+中心远程认证开门；多重卡+超级密码开门；多重卡+超级卡开门；首卡开门；超级权限开门；管理中心远程开门；APP 远程开门；系统主要操作响可时间可＜2s；可支持普通、来宾、胁迫、超级、巡更、黑名单等多种用户类型权限设置；可支持按时间分时段管控门禁权限，可支持 255 组时段计划管理，可支持 1024 个假日计划管理，可支持 64 个假日组管理，可支持 128 周计划管理；可支持常开、可常闭时段管理；可支持首卡开门管理；可支持反潜回（防尾随）功能。</w:t>
            </w:r>
            <w:r>
              <w:rPr>
                <w:rFonts w:hint="eastAsia" w:ascii="宋体" w:hAnsi="宋体" w:cs="宋体"/>
                <w:color w:val="auto"/>
                <w:sz w:val="21"/>
                <w:szCs w:val="21"/>
                <w:highlight w:val="none"/>
                <w:shd w:val="clear" w:color="auto" w:fill="auto"/>
              </w:rPr>
              <w:br/>
            </w:r>
            <w:r>
              <w:rPr>
                <w:rFonts w:hint="eastAsia" w:ascii="宋体" w:hAnsi="宋体" w:cs="宋体"/>
                <w:color w:val="auto"/>
                <w:sz w:val="21"/>
                <w:szCs w:val="21"/>
                <w:highlight w:val="none"/>
                <w:shd w:val="clear" w:color="auto" w:fill="auto"/>
              </w:rPr>
              <w:t>19. 设备接入系统平台后可支持视频联动报警功能；未授权人员刷人脸时，设备可支持抓拍图片并实时上报平台预警；系统可具有可急开启的方法，如设备可支持接入消防可急信号联动开门； 根据设定事件的联动关系，当检测到该事件发生时，可触发对可的动作。</w:t>
            </w:r>
          </w:p>
          <w:p>
            <w:pPr>
              <w:pStyle w:val="12"/>
              <w:widowControl/>
              <w:wordWrap w:val="0"/>
              <w:spacing w:beforeAutospacing="0" w:afterAutospacing="0" w:line="480" w:lineRule="atLeast"/>
              <w:ind w:left="360"/>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w:t>
            </w:r>
            <w:r>
              <w:rPr>
                <w:rFonts w:ascii="宋体" w:hAnsi="宋体" w:cs="宋体"/>
                <w:color w:val="auto"/>
                <w:sz w:val="21"/>
                <w:szCs w:val="21"/>
                <w:highlight w:val="none"/>
                <w:shd w:val="clear" w:color="auto" w:fill="auto"/>
              </w:rPr>
              <w:t>0.</w:t>
            </w:r>
            <w:r>
              <w:rPr>
                <w:rFonts w:hint="eastAsia" w:ascii="宋体" w:hAnsi="宋体" w:cs="宋体"/>
                <w:color w:val="auto"/>
                <w:sz w:val="21"/>
                <w:szCs w:val="21"/>
                <w:highlight w:val="none"/>
                <w:shd w:val="clear" w:color="auto" w:fill="auto"/>
              </w:rPr>
              <w:t>设备需与医院智能门禁系统支持兼容，无需支付额外开发费用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733" w:hRule="atLeast"/>
          <w:jc w:val="center"/>
        </w:trPr>
        <w:tc>
          <w:tcPr>
            <w:tcW w:w="1838" w:type="dxa"/>
            <w:vAlign w:val="center"/>
          </w:tcPr>
          <w:p>
            <w:pPr>
              <w:adjustRightInd w:val="0"/>
              <w:snapToGrid w:val="0"/>
              <w:jc w:val="center"/>
              <w:rPr>
                <w:rFonts w:ascii="仿宋_GB2312" w:hAnsi="仿宋_GB2312" w:eastAsia="仿宋_GB2312" w:cs="仿宋_GB2312"/>
                <w:color w:val="auto"/>
                <w:sz w:val="32"/>
                <w:szCs w:val="32"/>
                <w:shd w:val="clear" w:color="auto" w:fill="auto"/>
              </w:rPr>
            </w:pPr>
            <w:r>
              <w:rPr>
                <w:rFonts w:hint="eastAsia" w:ascii="宋体" w:hAnsi="宋体" w:cs="宋体"/>
                <w:color w:val="auto"/>
                <w:szCs w:val="21"/>
                <w:shd w:val="clear" w:color="auto" w:fill="auto"/>
              </w:rPr>
              <w:t>单门门禁控制器</w:t>
            </w:r>
          </w:p>
        </w:tc>
        <w:tc>
          <w:tcPr>
            <w:tcW w:w="851" w:type="dxa"/>
            <w:vAlign w:val="center"/>
          </w:tcPr>
          <w:p>
            <w:pPr>
              <w:adjustRightInd w:val="0"/>
              <w:snapToGrid w:val="0"/>
              <w:jc w:val="center"/>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w:t>
            </w:r>
          </w:p>
        </w:tc>
        <w:tc>
          <w:tcPr>
            <w:tcW w:w="5807" w:type="dxa"/>
            <w:vAlign w:val="top"/>
          </w:tcPr>
          <w:p>
            <w:pPr>
              <w:pStyle w:val="12"/>
              <w:widowControl/>
              <w:numPr>
                <w:ilvl w:val="0"/>
                <w:numId w:val="7"/>
              </w:numPr>
              <w:wordWrap w:val="0"/>
              <w:spacing w:beforeAutospacing="0" w:afterAutospacing="0" w:line="480" w:lineRule="atLeast"/>
              <w:rPr>
                <w:rFonts w:ascii="宋体" w:hAnsi="宋体" w:cs="宋体"/>
                <w:color w:val="auto"/>
                <w:sz w:val="22"/>
                <w:szCs w:val="16"/>
                <w:highlight w:val="none"/>
                <w:shd w:val="clear" w:color="auto" w:fill="auto"/>
              </w:rPr>
            </w:pPr>
            <w:r>
              <w:rPr>
                <w:rFonts w:hint="eastAsia" w:ascii="宋体" w:hAnsi="宋体" w:cs="宋体"/>
                <w:color w:val="auto"/>
                <w:sz w:val="22"/>
                <w:szCs w:val="16"/>
                <w:highlight w:val="none"/>
                <w:shd w:val="clear" w:color="auto" w:fill="auto"/>
              </w:rPr>
              <w:t>主机可具有丰富的通讯接口、控制接口及拓展接口：TCP/IP接口≥1个；上行RS485通讯接口≥2个；下行RS485通讯接口≥2个；wiegand通讯接口≥2个；可接入最多读卡器数量≥4个，其中≥2个RS485读卡器和≥2个wiegand读卡器；报警输入接口≥4个；事件输入接口≥2个；门磁输入接口≥1个；开门按钮接口≥1个；电锁输出接口≥1个；报警输出接口≥2个。</w:t>
            </w:r>
            <w:r>
              <w:rPr>
                <w:rFonts w:hint="eastAsia" w:ascii="宋体" w:hAnsi="宋体" w:cs="宋体"/>
                <w:color w:val="auto"/>
                <w:sz w:val="22"/>
                <w:szCs w:val="16"/>
                <w:highlight w:val="none"/>
                <w:shd w:val="clear" w:color="auto" w:fill="auto"/>
              </w:rPr>
              <w:br/>
            </w:r>
            <w:r>
              <w:rPr>
                <w:rFonts w:hint="eastAsia" w:ascii="宋体" w:hAnsi="宋体" w:cs="宋体"/>
                <w:color w:val="auto"/>
                <w:sz w:val="22"/>
                <w:szCs w:val="16"/>
                <w:highlight w:val="none"/>
                <w:shd w:val="clear" w:color="auto" w:fill="auto"/>
              </w:rPr>
              <w:t>2.</w:t>
            </w:r>
            <w:r>
              <w:rPr>
                <w:rStyle w:val="14"/>
                <w:rFonts w:hint="eastAsia" w:ascii="宋体" w:hAnsi="宋体" w:cs="宋体"/>
                <w:color w:val="auto"/>
                <w:highlight w:val="none"/>
                <w:shd w:val="clear" w:color="auto" w:fill="auto"/>
              </w:rPr>
              <w:t xml:space="preserve"> </w:t>
            </w:r>
            <w:r>
              <w:rPr>
                <w:rFonts w:hint="eastAsia" w:ascii="宋体" w:hAnsi="宋体" w:cs="宋体"/>
                <w:color w:val="auto"/>
                <w:sz w:val="22"/>
                <w:szCs w:val="16"/>
                <w:highlight w:val="none"/>
                <w:shd w:val="clear" w:color="auto" w:fill="auto"/>
              </w:rPr>
              <w:t>主机可同时接入RS485和wiegand接口的读卡器，能通过RS485接口连接读卡器组成环网，实现环路检测和冗余功能</w:t>
            </w:r>
            <w:r>
              <w:rPr>
                <w:rFonts w:hint="eastAsia" w:ascii="宋体" w:hAnsi="宋体" w:cs="宋体"/>
                <w:color w:val="auto"/>
                <w:sz w:val="22"/>
                <w:szCs w:val="16"/>
                <w:highlight w:val="none"/>
                <w:shd w:val="clear" w:color="auto" w:fill="auto"/>
              </w:rPr>
              <w:br/>
            </w:r>
            <w:r>
              <w:rPr>
                <w:rFonts w:hint="eastAsia" w:ascii="宋体" w:hAnsi="宋体" w:cs="宋体"/>
                <w:color w:val="auto"/>
                <w:sz w:val="22"/>
                <w:szCs w:val="16"/>
                <w:highlight w:val="none"/>
                <w:shd w:val="clear" w:color="auto" w:fill="auto"/>
              </w:rPr>
              <w:t>3. 主机可对门的开启方式，卡的各种使用权限进行组合设置，实现不同场景的权限管理，故可有以下功能：反潜回（防跟随）功能；多重卡认证开门功能；多重卡+中心远程开门功能；多重卡+超级密码开门功能；多重卡+超级卡开门功能；超级权限开门；中心远程开门；支持身份证开门；支持银行卡开门；支持单向刷卡（指纹）和双向刷卡（指纹）开门。</w:t>
            </w:r>
            <w:r>
              <w:rPr>
                <w:rFonts w:hint="eastAsia" w:ascii="宋体" w:hAnsi="宋体" w:cs="宋体"/>
                <w:color w:val="auto"/>
                <w:sz w:val="22"/>
                <w:szCs w:val="16"/>
                <w:highlight w:val="none"/>
                <w:shd w:val="clear" w:color="auto" w:fill="auto"/>
              </w:rPr>
              <w:br/>
            </w:r>
            <w:r>
              <w:rPr>
                <w:rFonts w:hint="eastAsia" w:ascii="宋体" w:hAnsi="宋体" w:cs="宋体"/>
                <w:color w:val="auto"/>
                <w:sz w:val="22"/>
                <w:szCs w:val="16"/>
                <w:highlight w:val="none"/>
                <w:shd w:val="clear" w:color="auto" w:fill="auto"/>
              </w:rPr>
              <w:t>4.  主机可有大容量存储能力，可最多支持10万卡片管理和30万事件记录存储。</w:t>
            </w:r>
            <w:r>
              <w:rPr>
                <w:rFonts w:hint="eastAsia" w:ascii="宋体" w:hAnsi="宋体" w:cs="宋体"/>
                <w:color w:val="auto"/>
                <w:sz w:val="22"/>
                <w:szCs w:val="16"/>
                <w:highlight w:val="none"/>
                <w:shd w:val="clear" w:color="auto" w:fill="auto"/>
              </w:rPr>
              <w:br/>
            </w:r>
            <w:r>
              <w:rPr>
                <w:rFonts w:hint="eastAsia" w:ascii="宋体" w:hAnsi="宋体" w:cs="宋体"/>
                <w:color w:val="auto"/>
                <w:sz w:val="22"/>
                <w:szCs w:val="16"/>
                <w:highlight w:val="none"/>
                <w:shd w:val="clear" w:color="auto" w:fill="auto"/>
              </w:rPr>
              <w:t>5. 主机可支持普通卡/残疾人卡/黑名单/巡更卡/来宾卡/胁迫卡/超级卡等多种卡片类型。</w:t>
            </w:r>
            <w:r>
              <w:rPr>
                <w:rFonts w:hint="eastAsia" w:ascii="宋体" w:hAnsi="宋体" w:cs="宋体"/>
                <w:color w:val="auto"/>
                <w:sz w:val="22"/>
                <w:szCs w:val="16"/>
                <w:highlight w:val="none"/>
                <w:shd w:val="clear" w:color="auto" w:fill="auto"/>
              </w:rPr>
              <w:br/>
            </w:r>
            <w:r>
              <w:rPr>
                <w:rFonts w:hint="eastAsia" w:ascii="宋体" w:hAnsi="宋体" w:cs="宋体"/>
                <w:color w:val="auto"/>
                <w:sz w:val="22"/>
                <w:szCs w:val="16"/>
                <w:highlight w:val="none"/>
                <w:shd w:val="clear" w:color="auto" w:fill="auto"/>
              </w:rPr>
              <w:t>6. 主机可具有应急响应功能，可应急开启和应急复位。</w:t>
            </w:r>
            <w:r>
              <w:rPr>
                <w:rFonts w:hint="eastAsia" w:ascii="宋体" w:hAnsi="宋体" w:cs="宋体"/>
                <w:color w:val="auto"/>
                <w:sz w:val="22"/>
                <w:szCs w:val="16"/>
                <w:highlight w:val="none"/>
                <w:shd w:val="clear" w:color="auto" w:fill="auto"/>
              </w:rPr>
              <w:br/>
            </w:r>
            <w:r>
              <w:rPr>
                <w:rFonts w:hint="eastAsia" w:ascii="宋体" w:hAnsi="宋体" w:cs="宋体"/>
                <w:color w:val="auto"/>
                <w:sz w:val="22"/>
                <w:szCs w:val="16"/>
                <w:highlight w:val="none"/>
                <w:shd w:val="clear" w:color="auto" w:fill="auto"/>
              </w:rPr>
              <w:t>7. 主机可具有看门狗检测功能，保障主机长期稳定运行。</w:t>
            </w:r>
            <w:r>
              <w:rPr>
                <w:rFonts w:hint="eastAsia" w:ascii="宋体" w:hAnsi="宋体" w:cs="宋体"/>
                <w:color w:val="auto"/>
                <w:sz w:val="22"/>
                <w:szCs w:val="16"/>
                <w:highlight w:val="none"/>
                <w:shd w:val="clear" w:color="auto" w:fill="auto"/>
              </w:rPr>
              <w:br/>
            </w:r>
            <w:r>
              <w:rPr>
                <w:rFonts w:hint="eastAsia" w:ascii="宋体" w:hAnsi="宋体" w:cs="宋体"/>
                <w:color w:val="auto"/>
                <w:sz w:val="22"/>
                <w:szCs w:val="16"/>
                <w:highlight w:val="none"/>
                <w:shd w:val="clear" w:color="auto" w:fill="auto"/>
              </w:rPr>
              <w:t>8. 主机可具防区报警功能，有≥4个入侵探测接口，能够联动报警输出。</w:t>
            </w:r>
            <w:r>
              <w:rPr>
                <w:rFonts w:hint="eastAsia" w:ascii="宋体" w:hAnsi="宋体" w:cs="宋体"/>
                <w:color w:val="auto"/>
                <w:sz w:val="22"/>
                <w:szCs w:val="16"/>
                <w:highlight w:val="none"/>
                <w:shd w:val="clear" w:color="auto" w:fill="auto"/>
              </w:rPr>
              <w:br/>
            </w:r>
            <w:r>
              <w:rPr>
                <w:rFonts w:hint="eastAsia" w:ascii="宋体" w:hAnsi="宋体" w:cs="宋体"/>
                <w:color w:val="auto"/>
                <w:sz w:val="22"/>
                <w:szCs w:val="16"/>
                <w:highlight w:val="none"/>
                <w:shd w:val="clear" w:color="auto" w:fill="auto"/>
              </w:rPr>
              <w:t>9. 主机可具有在线升级功能。</w:t>
            </w:r>
            <w:r>
              <w:rPr>
                <w:rFonts w:hint="eastAsia" w:ascii="宋体" w:hAnsi="宋体" w:cs="宋体"/>
                <w:color w:val="auto"/>
                <w:sz w:val="22"/>
                <w:szCs w:val="16"/>
                <w:highlight w:val="none"/>
                <w:shd w:val="clear" w:color="auto" w:fill="auto"/>
              </w:rPr>
              <w:br/>
            </w:r>
            <w:r>
              <w:rPr>
                <w:rFonts w:hint="eastAsia" w:ascii="宋体" w:hAnsi="宋体" w:cs="宋体"/>
                <w:color w:val="auto"/>
                <w:sz w:val="22"/>
                <w:szCs w:val="16"/>
                <w:highlight w:val="none"/>
                <w:shd w:val="clear" w:color="auto" w:fill="auto"/>
              </w:rPr>
              <w:t>10. 主机可具有备用电源功能，可内置蓄电池，当主机电源切断后，设备可自动切换到蓄电池供电，使用主电源时应能自动给蓄电池充电。</w:t>
            </w:r>
            <w:r>
              <w:rPr>
                <w:rFonts w:hint="eastAsia" w:ascii="宋体" w:hAnsi="宋体" w:cs="宋体"/>
                <w:color w:val="auto"/>
                <w:sz w:val="22"/>
                <w:szCs w:val="16"/>
                <w:highlight w:val="none"/>
                <w:shd w:val="clear" w:color="auto" w:fill="auto"/>
              </w:rPr>
              <w:br/>
            </w:r>
            <w:r>
              <w:rPr>
                <w:rFonts w:hint="eastAsia" w:ascii="宋体" w:hAnsi="宋体" w:cs="宋体"/>
                <w:color w:val="auto"/>
                <w:sz w:val="22"/>
                <w:szCs w:val="16"/>
                <w:highlight w:val="none"/>
                <w:shd w:val="clear" w:color="auto" w:fill="auto"/>
              </w:rPr>
              <w:t>11. 主机可具有防拆功能，主机机箱在被拆除时，能发出防拆报警警告。</w:t>
            </w:r>
            <w:r>
              <w:rPr>
                <w:rFonts w:hint="eastAsia" w:ascii="宋体" w:hAnsi="宋体" w:cs="宋体"/>
                <w:color w:val="auto"/>
                <w:sz w:val="22"/>
                <w:szCs w:val="16"/>
                <w:highlight w:val="none"/>
                <w:shd w:val="clear" w:color="auto" w:fill="auto"/>
              </w:rPr>
              <w:br/>
            </w:r>
            <w:r>
              <w:rPr>
                <w:rFonts w:hint="eastAsia" w:ascii="宋体" w:hAnsi="宋体" w:cs="宋体"/>
                <w:color w:val="auto"/>
                <w:sz w:val="22"/>
                <w:szCs w:val="16"/>
                <w:highlight w:val="none"/>
                <w:shd w:val="clear" w:color="auto" w:fill="auto"/>
              </w:rPr>
              <w:t>12. 主机可有手动或自动校时功能。</w:t>
            </w:r>
            <w:r>
              <w:rPr>
                <w:rFonts w:hint="eastAsia" w:ascii="宋体" w:hAnsi="宋体" w:cs="宋体"/>
                <w:color w:val="auto"/>
                <w:sz w:val="22"/>
                <w:szCs w:val="16"/>
                <w:highlight w:val="none"/>
                <w:shd w:val="clear" w:color="auto" w:fill="auto"/>
              </w:rPr>
              <w:br/>
            </w:r>
            <w:r>
              <w:rPr>
                <w:rFonts w:hint="eastAsia" w:ascii="宋体" w:hAnsi="宋体" w:cs="宋体"/>
                <w:color w:val="auto"/>
                <w:sz w:val="22"/>
                <w:szCs w:val="16"/>
                <w:highlight w:val="none"/>
                <w:shd w:val="clear" w:color="auto" w:fill="auto"/>
              </w:rPr>
              <w:t>13. 主机可具有极端恶劣环境下正常工作能力，工作温度应为：﹣40℃~﹢70℃。</w:t>
            </w:r>
            <w:r>
              <w:rPr>
                <w:rFonts w:hint="eastAsia" w:ascii="宋体" w:hAnsi="宋体" w:cs="宋体"/>
                <w:color w:val="auto"/>
                <w:sz w:val="22"/>
                <w:szCs w:val="16"/>
                <w:highlight w:val="none"/>
                <w:shd w:val="clear" w:color="auto" w:fill="auto"/>
              </w:rPr>
              <w:br/>
            </w:r>
            <w:r>
              <w:rPr>
                <w:rFonts w:hint="eastAsia" w:ascii="宋体" w:hAnsi="宋体" w:cs="宋体"/>
                <w:color w:val="auto"/>
                <w:sz w:val="22"/>
                <w:szCs w:val="16"/>
                <w:highlight w:val="none"/>
                <w:shd w:val="clear" w:color="auto" w:fill="auto"/>
              </w:rPr>
              <w:t>14. 系统主要操作响应时间应小于等于2S，电控锁响应时间应小于等于1S，报警响应时间应小于等于1S。</w:t>
            </w:r>
          </w:p>
          <w:p>
            <w:pPr>
              <w:pStyle w:val="12"/>
              <w:widowControl/>
              <w:wordWrap w:val="0"/>
              <w:spacing w:beforeAutospacing="0" w:afterAutospacing="0" w:line="480" w:lineRule="atLeast"/>
              <w:ind w:left="360"/>
              <w:rPr>
                <w:rFonts w:ascii="宋体" w:hAnsi="宋体" w:cs="宋体"/>
                <w:b/>
                <w:bCs/>
                <w:color w:val="auto"/>
                <w:sz w:val="21"/>
                <w:szCs w:val="21"/>
                <w:highlight w:val="none"/>
                <w:shd w:val="clear" w:color="auto" w:fill="auto"/>
              </w:rPr>
            </w:pPr>
            <w:r>
              <w:rPr>
                <w:rFonts w:hint="eastAsia" w:ascii="宋体" w:hAnsi="宋体" w:cs="宋体"/>
                <w:color w:val="auto"/>
                <w:sz w:val="22"/>
                <w:szCs w:val="16"/>
                <w:highlight w:val="none"/>
                <w:shd w:val="clear" w:color="auto" w:fill="auto"/>
              </w:rPr>
              <w:t>1</w:t>
            </w:r>
            <w:r>
              <w:rPr>
                <w:rFonts w:ascii="宋体" w:hAnsi="宋体" w:cs="宋体"/>
                <w:color w:val="auto"/>
                <w:sz w:val="22"/>
                <w:szCs w:val="16"/>
                <w:highlight w:val="none"/>
                <w:shd w:val="clear" w:color="auto" w:fill="auto"/>
              </w:rPr>
              <w:t>5.</w:t>
            </w:r>
            <w:r>
              <w:rPr>
                <w:rFonts w:hint="eastAsia" w:ascii="宋体" w:hAnsi="宋体" w:cs="宋体"/>
                <w:color w:val="auto"/>
                <w:sz w:val="21"/>
                <w:szCs w:val="21"/>
                <w:highlight w:val="none"/>
                <w:shd w:val="clear" w:color="auto" w:fill="auto"/>
              </w:rPr>
              <w:t xml:space="preserve"> 设备需与医院智能门禁系统支持兼容，无需支付额外开发费用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733" w:hRule="atLeast"/>
          <w:jc w:val="center"/>
        </w:trPr>
        <w:tc>
          <w:tcPr>
            <w:tcW w:w="1838" w:type="dxa"/>
            <w:vAlign w:val="center"/>
          </w:tcPr>
          <w:p>
            <w:pPr>
              <w:adjustRightInd w:val="0"/>
              <w:snapToGrid w:val="0"/>
              <w:jc w:val="center"/>
              <w:rPr>
                <w:rFonts w:ascii="仿宋_GB2312" w:hAnsi="仿宋_GB2312" w:eastAsia="仿宋_GB2312" w:cs="仿宋_GB2312"/>
                <w:color w:val="auto"/>
                <w:sz w:val="32"/>
                <w:szCs w:val="32"/>
                <w:shd w:val="clear" w:color="auto" w:fill="auto"/>
              </w:rPr>
            </w:pPr>
            <w:r>
              <w:rPr>
                <w:rFonts w:hint="eastAsia" w:ascii="宋体" w:hAnsi="宋体" w:cs="宋体"/>
                <w:color w:val="auto"/>
                <w:szCs w:val="21"/>
                <w:shd w:val="clear" w:color="auto" w:fill="auto"/>
              </w:rPr>
              <w:t>护士站接听机</w:t>
            </w:r>
          </w:p>
        </w:tc>
        <w:tc>
          <w:tcPr>
            <w:tcW w:w="851" w:type="dxa"/>
            <w:vAlign w:val="center"/>
          </w:tcPr>
          <w:p>
            <w:pPr>
              <w:adjustRightInd w:val="0"/>
              <w:snapToGrid w:val="0"/>
              <w:jc w:val="center"/>
              <w:rPr>
                <w:rFonts w:ascii="仿宋_GB2312" w:hAnsi="仿宋_GB2312" w:eastAsia="仿宋_GB2312" w:cs="仿宋_GB2312"/>
                <w:color w:val="auto"/>
                <w:sz w:val="28"/>
                <w:szCs w:val="28"/>
                <w:shd w:val="clear" w:color="auto" w:fill="auto"/>
              </w:rPr>
            </w:pPr>
            <w:r>
              <w:rPr>
                <w:rFonts w:hint="eastAsia" w:ascii="仿宋_GB2312" w:hAnsi="仿宋_GB2312" w:cs="仿宋_GB2312"/>
                <w:color w:val="auto"/>
                <w:sz w:val="28"/>
                <w:szCs w:val="28"/>
                <w:shd w:val="clear" w:color="auto" w:fill="auto"/>
              </w:rPr>
              <w:t>1</w:t>
            </w:r>
          </w:p>
        </w:tc>
        <w:tc>
          <w:tcPr>
            <w:tcW w:w="5807" w:type="dxa"/>
            <w:vAlign w:val="center"/>
          </w:tcPr>
          <w:p>
            <w:pPr>
              <w:widowControl/>
              <w:numPr>
                <w:ilvl w:val="0"/>
                <w:numId w:val="8"/>
              </w:numPr>
              <w:wordWrap w:val="0"/>
              <w:spacing w:line="480" w:lineRule="atLeast"/>
              <w:ind w:left="0" w:firstLine="420"/>
              <w:jc w:val="left"/>
              <w:rPr>
                <w:rFonts w:ascii="宋体" w:hAnsi="宋体" w:cs="宋体"/>
                <w:color w:val="auto"/>
                <w:szCs w:val="21"/>
                <w:shd w:val="clear" w:color="auto" w:fill="auto"/>
              </w:rPr>
            </w:pPr>
            <w:r>
              <w:rPr>
                <w:rFonts w:hint="eastAsia" w:ascii="宋体" w:hAnsi="宋体" w:cs="宋体"/>
                <w:color w:val="auto"/>
                <w:szCs w:val="21"/>
                <w:shd w:val="clear" w:color="auto" w:fill="auto"/>
              </w:rPr>
              <w:t>采用≥7寸分辨率为1024*600彩色TFT LCD显示屏</w:t>
            </w:r>
          </w:p>
          <w:p>
            <w:pPr>
              <w:widowControl/>
              <w:numPr>
                <w:ilvl w:val="0"/>
                <w:numId w:val="8"/>
              </w:numPr>
              <w:wordWrap w:val="0"/>
              <w:spacing w:line="480" w:lineRule="atLeast"/>
              <w:ind w:left="0" w:firstLine="420"/>
              <w:jc w:val="left"/>
              <w:rPr>
                <w:rFonts w:ascii="宋体" w:hAnsi="宋体" w:cs="宋体"/>
                <w:color w:val="auto"/>
                <w:szCs w:val="21"/>
                <w:shd w:val="clear" w:color="auto" w:fill="auto"/>
              </w:rPr>
            </w:pPr>
            <w:r>
              <w:rPr>
                <w:rFonts w:hint="eastAsia" w:ascii="宋体" w:hAnsi="宋体" w:cs="宋体"/>
                <w:color w:val="auto"/>
                <w:szCs w:val="21"/>
                <w:shd w:val="clear" w:color="auto" w:fill="auto"/>
              </w:rPr>
              <w:t>采用电容式触摸屏操作方式</w:t>
            </w:r>
          </w:p>
          <w:p>
            <w:pPr>
              <w:pStyle w:val="12"/>
              <w:widowControl/>
              <w:wordWrap w:val="0"/>
              <w:spacing w:beforeAutospacing="0" w:afterAutospacing="0" w:line="480" w:lineRule="atLeast"/>
              <w:ind w:firstLine="720" w:firstLineChars="300"/>
              <w:rPr>
                <w:rFonts w:ascii="宋体" w:hAnsi="宋体" w:cs="宋体"/>
                <w:color w:val="auto"/>
                <w:szCs w:val="21"/>
                <w:shd w:val="clear" w:color="auto" w:fill="auto"/>
              </w:rPr>
            </w:pPr>
            <w:r>
              <w:rPr>
                <w:rFonts w:hint="eastAsia" w:ascii="宋体" w:hAnsi="宋体" w:cs="宋体"/>
                <w:color w:val="auto"/>
                <w:szCs w:val="21"/>
                <w:shd w:val="clear" w:color="auto" w:fill="auto"/>
              </w:rPr>
              <w:t>采用扁平化风格UI操作界面</w:t>
            </w:r>
          </w:p>
          <w:p>
            <w:pPr>
              <w:pStyle w:val="12"/>
              <w:widowControl/>
              <w:wordWrap w:val="0"/>
              <w:spacing w:beforeAutospacing="0" w:afterAutospacing="0" w:line="480" w:lineRule="atLeast"/>
              <w:ind w:left="630" w:leftChars="300"/>
              <w:rPr>
                <w:rFonts w:ascii="宋体" w:hAnsi="宋体" w:cs="宋体"/>
                <w:color w:val="auto"/>
                <w:sz w:val="21"/>
                <w:szCs w:val="21"/>
                <w:shd w:val="clear" w:color="auto" w:fill="auto"/>
              </w:rPr>
            </w:pPr>
            <w:r>
              <w:rPr>
                <w:rFonts w:hint="eastAsia" w:ascii="宋体" w:hAnsi="宋体" w:cs="宋体"/>
                <w:color w:val="auto"/>
                <w:szCs w:val="21"/>
                <w:shd w:val="clear" w:color="auto" w:fill="auto"/>
              </w:rPr>
              <w:t>设备需与医院智能门禁系统支持兼容，无需支付额外开发费用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733" w:hRule="atLeast"/>
          <w:jc w:val="center"/>
        </w:trPr>
        <w:tc>
          <w:tcPr>
            <w:tcW w:w="1838" w:type="dxa"/>
            <w:vAlign w:val="center"/>
          </w:tcPr>
          <w:p>
            <w:pPr>
              <w:pStyle w:val="16"/>
              <w:ind w:firstLine="480" w:firstLineChars="200"/>
              <w:rPr>
                <w:rFonts w:ascii="仿宋_GB2312" w:hAnsi="仿宋_GB2312" w:cs="仿宋_GB2312"/>
                <w:color w:val="auto"/>
                <w:sz w:val="28"/>
                <w:szCs w:val="28"/>
                <w:shd w:val="clear" w:color="auto" w:fill="auto"/>
              </w:rPr>
            </w:pPr>
            <w:r>
              <w:rPr>
                <w:rFonts w:hint="eastAsia"/>
                <w:color w:val="auto"/>
                <w:shd w:val="clear" w:color="auto" w:fill="auto"/>
              </w:rPr>
              <w:t>配件</w:t>
            </w:r>
          </w:p>
        </w:tc>
        <w:tc>
          <w:tcPr>
            <w:tcW w:w="851" w:type="dxa"/>
            <w:vAlign w:val="center"/>
          </w:tcPr>
          <w:p>
            <w:pPr>
              <w:pStyle w:val="16"/>
              <w:ind w:firstLine="280" w:firstLineChars="100"/>
              <w:rPr>
                <w:rFonts w:ascii="仿宋_GB2312" w:hAnsi="仿宋_GB2312" w:cs="仿宋_GB2312"/>
                <w:color w:val="auto"/>
                <w:sz w:val="28"/>
                <w:szCs w:val="28"/>
                <w:shd w:val="clear" w:color="auto" w:fill="auto"/>
              </w:rPr>
            </w:pPr>
            <w:r>
              <w:rPr>
                <w:rFonts w:hint="eastAsia" w:ascii="仿宋_GB2312" w:hAnsi="仿宋_GB2312" w:cs="仿宋_GB2312"/>
                <w:color w:val="auto"/>
                <w:sz w:val="28"/>
                <w:szCs w:val="28"/>
                <w:shd w:val="clear" w:color="auto" w:fill="auto"/>
              </w:rPr>
              <w:t>1</w:t>
            </w:r>
          </w:p>
        </w:tc>
        <w:tc>
          <w:tcPr>
            <w:tcW w:w="5807" w:type="dxa"/>
            <w:vAlign w:val="center"/>
          </w:tcPr>
          <w:p>
            <w:pPr>
              <w:pStyle w:val="16"/>
              <w:rPr>
                <w:rFonts w:ascii="仿宋_GB2312" w:hAnsi="仿宋_GB2312" w:cs="仿宋_GB2312"/>
                <w:color w:val="auto"/>
                <w:sz w:val="28"/>
                <w:szCs w:val="28"/>
                <w:shd w:val="clear" w:color="auto" w:fill="auto"/>
              </w:rPr>
            </w:pPr>
            <w:r>
              <w:rPr>
                <w:rFonts w:hint="eastAsia" w:ascii="宋体" w:hAnsi="宋体" w:cs="宋体"/>
                <w:color w:val="auto"/>
                <w:sz w:val="21"/>
                <w:szCs w:val="21"/>
                <w:shd w:val="clear" w:color="auto" w:fill="auto"/>
              </w:rPr>
              <w:t>闭门器，磁力锁，开门按钮，二维码门禁配件模块，交换机等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733" w:hRule="atLeast"/>
          <w:jc w:val="center"/>
        </w:trPr>
        <w:tc>
          <w:tcPr>
            <w:tcW w:w="8496" w:type="dxa"/>
            <w:gridSpan w:val="3"/>
            <w:vAlign w:val="center"/>
          </w:tcPr>
          <w:p>
            <w:pPr>
              <w:pStyle w:val="12"/>
              <w:widowControl/>
              <w:wordWrap w:val="0"/>
              <w:spacing w:beforeAutospacing="0" w:afterAutospacing="0" w:line="480" w:lineRule="atLeast"/>
              <w:rPr>
                <w:rFonts w:ascii="宋体" w:hAnsi="宋体" w:cs="宋体"/>
                <w:color w:val="auto"/>
                <w:sz w:val="21"/>
                <w:szCs w:val="21"/>
                <w:shd w:val="clear" w:color="auto" w:fill="auto"/>
              </w:rPr>
            </w:pPr>
            <w:r>
              <w:rPr>
                <w:rFonts w:hint="eastAsia" w:ascii="仿宋_GB2312" w:hAnsi="仿宋_GB2312" w:cs="仿宋_GB2312"/>
                <w:color w:val="auto"/>
                <w:sz w:val="28"/>
                <w:szCs w:val="28"/>
                <w:shd w:val="clear" w:color="auto" w:fill="auto"/>
              </w:rPr>
              <w:tab/>
            </w:r>
            <w:r>
              <w:rPr>
                <w:rFonts w:hint="eastAsia" w:ascii="仿宋_GB2312" w:hAnsi="仿宋_GB2312" w:cs="仿宋_GB2312"/>
                <w:color w:val="auto"/>
                <w:sz w:val="28"/>
                <w:szCs w:val="28"/>
                <w:shd w:val="clear" w:color="auto" w:fill="auto"/>
              </w:rPr>
              <w:t>备注说明：</w:t>
            </w:r>
            <w:r>
              <w:rPr>
                <w:rFonts w:hint="eastAsia" w:ascii="宋体" w:hAnsi="宋体" w:cs="宋体"/>
                <w:color w:val="auto"/>
                <w:sz w:val="28"/>
                <w:szCs w:val="28"/>
                <w:shd w:val="clear" w:color="auto" w:fill="auto"/>
              </w:rPr>
              <w:t>报价含货物、运输、安装调试、验收、保险、税费等相关费用。</w:t>
            </w:r>
          </w:p>
        </w:tc>
      </w:tr>
    </w:tbl>
    <w:p>
      <w:pPr>
        <w:pStyle w:val="3"/>
        <w:adjustRightInd w:val="0"/>
        <w:snapToGrid w:val="0"/>
        <w:spacing w:line="590" w:lineRule="exact"/>
        <w:ind w:firstLine="0"/>
        <w:jc w:val="both"/>
        <w:rPr>
          <w:rFonts w:ascii="仿宋_GB2312" w:hAnsi="仿宋_GB2312" w:eastAsia="仿宋_GB2312" w:cs="仿宋_GB2312"/>
          <w:b/>
          <w:color w:val="auto"/>
          <w:sz w:val="32"/>
          <w:szCs w:val="32"/>
          <w:shd w:val="clear" w:color="auto" w:fill="auto"/>
        </w:rPr>
      </w:pPr>
    </w:p>
    <w:p>
      <w:pPr>
        <w:pStyle w:val="3"/>
        <w:adjustRightInd w:val="0"/>
        <w:snapToGrid w:val="0"/>
        <w:spacing w:line="590" w:lineRule="exact"/>
        <w:ind w:firstLine="0"/>
        <w:jc w:val="center"/>
        <w:rPr>
          <w:rFonts w:ascii="仿宋_GB2312" w:hAnsi="仿宋_GB2312" w:eastAsia="仿宋_GB2312" w:cs="仿宋_GB2312"/>
          <w:b/>
          <w:color w:val="auto"/>
          <w:sz w:val="32"/>
          <w:szCs w:val="32"/>
          <w:shd w:val="clear" w:color="auto" w:fill="auto"/>
        </w:rPr>
      </w:pPr>
      <w:r>
        <w:rPr>
          <w:rFonts w:hint="eastAsia" w:ascii="仿宋_GB2312" w:hAnsi="仿宋_GB2312" w:eastAsia="仿宋_GB2312" w:cs="仿宋_GB2312"/>
          <w:b/>
          <w:color w:val="auto"/>
          <w:sz w:val="32"/>
          <w:szCs w:val="32"/>
          <w:shd w:val="clear" w:color="auto" w:fill="auto"/>
        </w:rPr>
        <w:br w:type="page"/>
      </w:r>
    </w:p>
    <w:p>
      <w:pPr>
        <w:pStyle w:val="3"/>
        <w:adjustRightInd w:val="0"/>
        <w:snapToGrid w:val="0"/>
        <w:spacing w:line="590" w:lineRule="exact"/>
        <w:ind w:firstLine="0"/>
        <w:jc w:val="center"/>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b/>
          <w:color w:val="auto"/>
          <w:sz w:val="32"/>
          <w:szCs w:val="32"/>
          <w:shd w:val="clear" w:color="auto" w:fill="auto"/>
        </w:rPr>
        <w:t>一、投标书</w:t>
      </w:r>
    </w:p>
    <w:p>
      <w:pPr>
        <w:adjustRightInd w:val="0"/>
        <w:snapToGrid w:val="0"/>
        <w:spacing w:line="590" w:lineRule="exact"/>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致：福建省肿瘤医院</w:t>
      </w:r>
    </w:p>
    <w:p>
      <w:pPr>
        <w:adjustRightInd w:val="0"/>
        <w:snapToGrid w:val="0"/>
        <w:spacing w:line="590" w:lineRule="exact"/>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仿宋_GB2312" w:hAnsi="仿宋_GB2312" w:eastAsia="仿宋_GB2312" w:cs="仿宋_GB2312"/>
          <w:b/>
          <w:color w:val="auto"/>
          <w:sz w:val="32"/>
          <w:szCs w:val="32"/>
          <w:u w:val="single"/>
          <w:shd w:val="clear" w:color="auto" w:fill="auto"/>
        </w:rPr>
        <w:t xml:space="preserve">：      </w:t>
      </w:r>
      <w:r>
        <w:rPr>
          <w:rFonts w:hint="eastAsia" w:ascii="仿宋_GB2312" w:hAnsi="仿宋_GB2312" w:eastAsia="仿宋_GB2312" w:cs="仿宋_GB2312"/>
          <w:color w:val="auto"/>
          <w:sz w:val="32"/>
          <w:szCs w:val="32"/>
          <w:u w:val="single"/>
          <w:shd w:val="clear" w:color="auto" w:fill="auto"/>
        </w:rPr>
        <w:t xml:space="preserve">  （小写：           ）</w:t>
      </w:r>
      <w:r>
        <w:rPr>
          <w:rFonts w:hint="eastAsia" w:ascii="仿宋_GB2312" w:hAnsi="仿宋_GB2312" w:eastAsia="仿宋_GB2312" w:cs="仿宋_GB2312"/>
          <w:color w:val="auto"/>
          <w:sz w:val="32"/>
          <w:szCs w:val="32"/>
          <w:shd w:val="clear" w:color="auto" w:fill="auto"/>
        </w:rPr>
        <w:t>的投标报价并按上述条款、标准要求承包上述项目，并承担任何质量缺陷保修责任。</w:t>
      </w:r>
    </w:p>
    <w:p>
      <w:pPr>
        <w:adjustRightInd w:val="0"/>
        <w:snapToGrid w:val="0"/>
        <w:spacing w:line="590" w:lineRule="exact"/>
        <w:ind w:firstLine="608" w:firstLineChars="19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2、我方已详细审核全部招标文件及有关附件。</w:t>
      </w:r>
    </w:p>
    <w:p>
      <w:pPr>
        <w:adjustRightInd w:val="0"/>
        <w:snapToGrid w:val="0"/>
        <w:spacing w:line="590" w:lineRule="exact"/>
        <w:ind w:firstLine="608" w:firstLineChars="19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3、一旦我方中标，我方保证质量达到</w:t>
      </w:r>
      <w:r>
        <w:rPr>
          <w:rFonts w:hint="eastAsia" w:ascii="仿宋_GB2312" w:hAnsi="仿宋_GB2312" w:eastAsia="仿宋_GB2312" w:cs="仿宋_GB2312"/>
          <w:b/>
          <w:color w:val="auto"/>
          <w:sz w:val="32"/>
          <w:szCs w:val="32"/>
          <w:u w:val="single"/>
          <w:shd w:val="clear" w:color="auto" w:fill="auto"/>
        </w:rPr>
        <w:t>投标须知、投标文件等规定</w:t>
      </w:r>
      <w:r>
        <w:rPr>
          <w:rFonts w:hint="eastAsia" w:ascii="仿宋_GB2312" w:hAnsi="仿宋_GB2312" w:eastAsia="仿宋_GB2312" w:cs="仿宋_GB2312"/>
          <w:color w:val="auto"/>
          <w:sz w:val="32"/>
          <w:szCs w:val="32"/>
          <w:shd w:val="clear" w:color="auto" w:fill="auto"/>
        </w:rPr>
        <w:t>标准。</w:t>
      </w:r>
    </w:p>
    <w:p>
      <w:pPr>
        <w:adjustRightInd w:val="0"/>
        <w:snapToGrid w:val="0"/>
        <w:spacing w:line="590" w:lineRule="exact"/>
        <w:ind w:firstLine="608" w:firstLineChars="19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4、我方同意所提交的投标文件在招标文件的投标须知中规定的投标有效期内有效，在此期间内如果中标，我方将受此约束。</w:t>
      </w:r>
    </w:p>
    <w:p>
      <w:pPr>
        <w:adjustRightInd w:val="0"/>
        <w:snapToGrid w:val="0"/>
        <w:spacing w:line="590" w:lineRule="exact"/>
        <w:ind w:firstLine="426"/>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5、除非另外达成协议并生效，你方的中标通知书和本投标文件将成为约束双方的合同文件的组成部分。</w:t>
      </w:r>
    </w:p>
    <w:p>
      <w:pPr>
        <w:adjustRightInd w:val="0"/>
        <w:snapToGrid w:val="0"/>
        <w:spacing w:line="590" w:lineRule="exact"/>
        <w:ind w:firstLine="640" w:firstLineChars="20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附件：报价清单</w:t>
      </w:r>
    </w:p>
    <w:p>
      <w:pPr>
        <w:adjustRightInd w:val="0"/>
        <w:snapToGrid w:val="0"/>
        <w:spacing w:line="590" w:lineRule="exact"/>
        <w:ind w:firstLine="3680" w:firstLineChars="115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 xml:space="preserve">投标人（盖章）： </w:t>
      </w:r>
    </w:p>
    <w:p>
      <w:pPr>
        <w:adjustRightInd w:val="0"/>
        <w:snapToGrid w:val="0"/>
        <w:spacing w:line="590" w:lineRule="exact"/>
        <w:ind w:firstLine="3680" w:firstLineChars="115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 xml:space="preserve">单位地址： </w:t>
      </w:r>
    </w:p>
    <w:p>
      <w:pPr>
        <w:adjustRightInd w:val="0"/>
        <w:snapToGrid w:val="0"/>
        <w:spacing w:line="590" w:lineRule="exact"/>
        <w:ind w:firstLine="3680" w:firstLineChars="115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法定代表人（签字或盖章）：</w:t>
      </w:r>
    </w:p>
    <w:p>
      <w:pPr>
        <w:adjustRightInd w:val="0"/>
        <w:snapToGrid w:val="0"/>
        <w:spacing w:line="590" w:lineRule="exact"/>
        <w:ind w:firstLine="3680" w:firstLineChars="115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 xml:space="preserve">邮政编码：         </w:t>
      </w:r>
    </w:p>
    <w:p>
      <w:pPr>
        <w:adjustRightInd w:val="0"/>
        <w:snapToGrid w:val="0"/>
        <w:spacing w:line="590" w:lineRule="exact"/>
        <w:ind w:firstLine="3680" w:firstLineChars="115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 xml:space="preserve">电话：       </w:t>
      </w:r>
    </w:p>
    <w:p>
      <w:pPr>
        <w:adjustRightInd w:val="0"/>
        <w:snapToGrid w:val="0"/>
        <w:spacing w:line="590" w:lineRule="exact"/>
        <w:ind w:firstLine="3680" w:firstLineChars="115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 xml:space="preserve">传真：  </w:t>
      </w:r>
    </w:p>
    <w:p>
      <w:pPr>
        <w:adjustRightInd w:val="0"/>
        <w:snapToGrid w:val="0"/>
        <w:spacing w:line="590" w:lineRule="exact"/>
        <w:ind w:firstLine="3680" w:firstLineChars="115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 xml:space="preserve">开户银行名称： </w:t>
      </w:r>
    </w:p>
    <w:p>
      <w:pPr>
        <w:adjustRightInd w:val="0"/>
        <w:snapToGrid w:val="0"/>
        <w:spacing w:line="590" w:lineRule="exact"/>
        <w:ind w:firstLine="3680" w:firstLineChars="115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 xml:space="preserve">开户银行帐号： </w:t>
      </w:r>
    </w:p>
    <w:p>
      <w:pPr>
        <w:adjustRightInd w:val="0"/>
        <w:snapToGrid w:val="0"/>
        <w:spacing w:line="590" w:lineRule="exact"/>
        <w:jc w:val="center"/>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 xml:space="preserve">     开户银行地址：</w:t>
      </w:r>
    </w:p>
    <w:p>
      <w:pPr>
        <w:adjustRightInd w:val="0"/>
        <w:snapToGrid w:val="0"/>
        <w:spacing w:line="590" w:lineRule="exact"/>
        <w:ind w:firstLine="3680" w:firstLineChars="115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 xml:space="preserve">开户银行电话： </w:t>
      </w:r>
    </w:p>
    <w:p>
      <w:pPr>
        <w:adjustRightInd w:val="0"/>
        <w:snapToGrid w:val="0"/>
        <w:spacing w:line="590" w:lineRule="exact"/>
        <w:ind w:firstLine="600"/>
        <w:rPr>
          <w:rFonts w:ascii="仿宋_GB2312" w:hAnsi="仿宋_GB2312" w:eastAsia="仿宋_GB2312" w:cs="仿宋_GB2312"/>
          <w:color w:val="auto"/>
          <w:sz w:val="32"/>
          <w:szCs w:val="32"/>
          <w:shd w:val="clear" w:color="auto" w:fill="auto"/>
        </w:rPr>
      </w:pPr>
    </w:p>
    <w:p>
      <w:pPr>
        <w:adjustRightInd w:val="0"/>
        <w:snapToGrid w:val="0"/>
        <w:spacing w:line="590" w:lineRule="exact"/>
        <w:jc w:val="right"/>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日期：   年   月    日</w:t>
      </w:r>
    </w:p>
    <w:p>
      <w:pPr>
        <w:adjustRightInd w:val="0"/>
        <w:snapToGrid w:val="0"/>
        <w:spacing w:line="590" w:lineRule="exact"/>
        <w:rPr>
          <w:rFonts w:ascii="仿宋_GB2312" w:hAnsi="仿宋_GB2312" w:eastAsia="仿宋_GB2312" w:cs="仿宋_GB2312"/>
          <w:color w:val="auto"/>
          <w:sz w:val="32"/>
          <w:szCs w:val="32"/>
          <w:shd w:val="clear" w:color="auto" w:fill="auto"/>
        </w:rPr>
      </w:pPr>
    </w:p>
    <w:p>
      <w:pPr>
        <w:adjustRightInd w:val="0"/>
        <w:snapToGrid w:val="0"/>
        <w:spacing w:line="590" w:lineRule="exact"/>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附件：投标报价清单</w:t>
      </w:r>
    </w:p>
    <w:p>
      <w:pPr>
        <w:adjustRightInd w:val="0"/>
        <w:snapToGrid w:val="0"/>
        <w:spacing w:line="590" w:lineRule="exact"/>
        <w:rPr>
          <w:rFonts w:ascii="仿宋_GB2312" w:hAnsi="仿宋_GB2312" w:eastAsia="仿宋_GB2312" w:cs="仿宋_GB2312"/>
          <w:color w:val="auto"/>
          <w:sz w:val="32"/>
          <w:szCs w:val="32"/>
          <w:shd w:val="clear" w:color="auto" w:fill="auto"/>
        </w:rPr>
      </w:pPr>
    </w:p>
    <w:tbl>
      <w:tblPr>
        <w:tblW w:w="7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629"/>
        <w:gridCol w:w="4399"/>
        <w:gridCol w:w="1417"/>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ascii="仿宋_GB2312" w:hAnsi="仿宋_GB2312" w:eastAsia="仿宋_GB2312" w:cs="仿宋_GB2312"/>
                <w:color w:val="auto"/>
                <w:sz w:val="32"/>
                <w:szCs w:val="32"/>
                <w:shd w:val="clear" w:color="auto" w:fill="auto"/>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pPr>
              <w:adjustRightInd w:val="0"/>
              <w:snapToGrid w:val="0"/>
              <w:spacing w:line="590" w:lineRule="exact"/>
              <w:jc w:val="center"/>
              <w:rPr>
                <w:rFonts w:ascii="仿宋_GB2312" w:hAnsi="仿宋_GB2312" w:eastAsia="仿宋_GB2312" w:cs="仿宋_GB2312"/>
                <w:color w:val="auto"/>
                <w:sz w:val="32"/>
                <w:szCs w:val="32"/>
                <w:shd w:val="clear" w:color="auto" w:fill="auto"/>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ascii="仿宋_GB2312" w:hAnsi="仿宋_GB2312" w:eastAsia="仿宋_GB2312" w:cs="仿宋_GB2312"/>
                <w:color w:val="auto"/>
                <w:sz w:val="32"/>
                <w:szCs w:val="32"/>
                <w:shd w:val="clear" w:color="auto" w:fill="auto"/>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ascii="仿宋_GB2312" w:hAnsi="仿宋_GB2312" w:eastAsia="仿宋_GB2312" w:cs="仿宋_GB2312"/>
                <w:color w:val="auto"/>
                <w:sz w:val="32"/>
                <w:szCs w:val="32"/>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line="590" w:lineRule="exact"/>
              <w:jc w:val="center"/>
              <w:rPr>
                <w:rFonts w:ascii="仿宋_GB2312" w:hAnsi="仿宋_GB2312" w:eastAsia="仿宋_GB2312" w:cs="仿宋_GB2312"/>
                <w:color w:val="auto"/>
                <w:sz w:val="32"/>
                <w:szCs w:val="32"/>
                <w:shd w:val="clear" w:color="auto" w:fill="auto"/>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11"/>
              <w:shd w:val="clear" w:color="auto" w:fill="FFFFFF"/>
              <w:adjustRightInd w:val="0"/>
              <w:snapToGrid w:val="0"/>
              <w:spacing w:line="590" w:lineRule="exact"/>
              <w:rPr>
                <w:rFonts w:ascii="仿宋_GB2312" w:hAnsi="仿宋_GB2312" w:eastAsia="仿宋_GB2312" w:cs="仿宋_GB2312"/>
                <w:color w:val="auto"/>
                <w:kern w:val="2"/>
                <w:sz w:val="32"/>
                <w:szCs w:val="32"/>
                <w:shd w:val="clear" w:color="auto" w:fill="auto"/>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ascii="仿宋_GB2312" w:hAnsi="仿宋_GB2312" w:eastAsia="仿宋_GB2312" w:cs="仿宋_GB2312"/>
                <w:color w:val="auto"/>
                <w:sz w:val="32"/>
                <w:szCs w:val="32"/>
                <w:shd w:val="clear" w:color="auto" w:fill="auto"/>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ascii="仿宋_GB2312" w:hAnsi="仿宋_GB2312" w:eastAsia="仿宋_GB2312" w:cs="仿宋_GB2312"/>
                <w:color w:val="auto"/>
                <w:sz w:val="32"/>
                <w:szCs w:val="32"/>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line="590" w:lineRule="exact"/>
              <w:jc w:val="center"/>
              <w:rPr>
                <w:rFonts w:ascii="仿宋_GB2312" w:hAnsi="仿宋_GB2312" w:eastAsia="仿宋_GB2312" w:cs="仿宋_GB2312"/>
                <w:color w:val="auto"/>
                <w:sz w:val="32"/>
                <w:szCs w:val="32"/>
                <w:shd w:val="clear" w:color="auto" w:fill="auto"/>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11"/>
              <w:shd w:val="clear" w:color="auto" w:fill="FFFFFF"/>
              <w:adjustRightInd w:val="0"/>
              <w:snapToGrid w:val="0"/>
              <w:spacing w:line="590" w:lineRule="exact"/>
              <w:rPr>
                <w:rFonts w:ascii="仿宋_GB2312" w:hAnsi="仿宋_GB2312" w:eastAsia="仿宋_GB2312" w:cs="仿宋_GB2312"/>
                <w:color w:val="auto"/>
                <w:kern w:val="2"/>
                <w:sz w:val="32"/>
                <w:szCs w:val="32"/>
                <w:shd w:val="clear" w:color="auto" w:fill="auto"/>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ascii="仿宋_GB2312" w:hAnsi="仿宋_GB2312" w:eastAsia="仿宋_GB2312" w:cs="仿宋_GB2312"/>
                <w:color w:val="auto"/>
                <w:sz w:val="32"/>
                <w:szCs w:val="32"/>
                <w:shd w:val="clear" w:color="auto" w:fill="auto"/>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ascii="仿宋_GB2312" w:hAnsi="仿宋_GB2312" w:eastAsia="仿宋_GB2312" w:cs="仿宋_GB2312"/>
                <w:color w:val="auto"/>
                <w:sz w:val="32"/>
                <w:szCs w:val="32"/>
                <w:shd w:val="clear" w:color="auto" w:fill="auto"/>
              </w:rPr>
            </w:pPr>
          </w:p>
        </w:tc>
      </w:tr>
    </w:tbl>
    <w:p>
      <w:pPr>
        <w:adjustRightInd w:val="0"/>
        <w:snapToGrid w:val="0"/>
        <w:spacing w:line="590" w:lineRule="exact"/>
        <w:jc w:val="center"/>
        <w:rPr>
          <w:rFonts w:ascii="仿宋_GB2312" w:hAnsi="仿宋_GB2312" w:eastAsia="仿宋_GB2312" w:cs="仿宋_GB2312"/>
          <w:color w:val="auto"/>
          <w:sz w:val="32"/>
          <w:szCs w:val="32"/>
          <w:shd w:val="clear" w:color="auto" w:fill="auto"/>
        </w:rPr>
      </w:pPr>
    </w:p>
    <w:p>
      <w:pPr>
        <w:adjustRightInd w:val="0"/>
        <w:snapToGrid w:val="0"/>
        <w:spacing w:line="590" w:lineRule="exact"/>
        <w:jc w:val="center"/>
        <w:rPr>
          <w:rFonts w:ascii="仿宋_GB2312" w:hAnsi="仿宋_GB2312" w:eastAsia="仿宋_GB2312" w:cs="仿宋_GB2312"/>
          <w:b/>
          <w:color w:val="auto"/>
          <w:sz w:val="32"/>
          <w:szCs w:val="32"/>
          <w:shd w:val="clear" w:color="auto" w:fill="auto"/>
        </w:rPr>
      </w:pPr>
    </w:p>
    <w:p>
      <w:pPr>
        <w:adjustRightInd w:val="0"/>
        <w:snapToGrid w:val="0"/>
        <w:spacing w:line="590" w:lineRule="exact"/>
        <w:jc w:val="center"/>
        <w:rPr>
          <w:rFonts w:ascii="仿宋_GB2312" w:hAnsi="仿宋_GB2312" w:eastAsia="仿宋_GB2312" w:cs="仿宋_GB2312"/>
          <w:b/>
          <w:color w:val="auto"/>
          <w:sz w:val="32"/>
          <w:szCs w:val="32"/>
          <w:shd w:val="clear" w:color="auto" w:fill="auto"/>
        </w:rPr>
      </w:pPr>
      <w:r>
        <w:rPr>
          <w:rFonts w:hint="eastAsia" w:ascii="仿宋_GB2312" w:hAnsi="仿宋_GB2312" w:eastAsia="仿宋_GB2312" w:cs="仿宋_GB2312"/>
          <w:b/>
          <w:color w:val="auto"/>
          <w:sz w:val="32"/>
          <w:szCs w:val="32"/>
          <w:shd w:val="clear" w:color="auto" w:fill="auto"/>
        </w:rPr>
        <w:br w:type="page"/>
      </w:r>
    </w:p>
    <w:p>
      <w:pPr>
        <w:adjustRightInd w:val="0"/>
        <w:snapToGrid w:val="0"/>
        <w:spacing w:line="590" w:lineRule="exact"/>
        <w:jc w:val="center"/>
        <w:rPr>
          <w:rFonts w:ascii="仿宋_GB2312" w:hAnsi="仿宋_GB2312" w:eastAsia="仿宋_GB2312" w:cs="仿宋_GB2312"/>
          <w:b/>
          <w:color w:val="auto"/>
          <w:sz w:val="32"/>
          <w:szCs w:val="32"/>
          <w:shd w:val="clear" w:color="auto" w:fill="auto"/>
        </w:rPr>
      </w:pPr>
      <w:r>
        <w:rPr>
          <w:rFonts w:hint="eastAsia" w:ascii="仿宋_GB2312" w:hAnsi="仿宋_GB2312" w:eastAsia="仿宋_GB2312" w:cs="仿宋_GB2312"/>
          <w:b/>
          <w:color w:val="auto"/>
          <w:sz w:val="32"/>
          <w:szCs w:val="32"/>
          <w:shd w:val="clear" w:color="auto" w:fill="auto"/>
        </w:rPr>
        <w:t>二、投标委托代表人资格证明书</w:t>
      </w:r>
    </w:p>
    <w:p>
      <w:pPr>
        <w:adjustRightInd w:val="0"/>
        <w:snapToGrid w:val="0"/>
        <w:spacing w:line="590" w:lineRule="exact"/>
        <w:rPr>
          <w:rFonts w:ascii="仿宋_GB2312" w:hAnsi="仿宋_GB2312" w:eastAsia="仿宋_GB2312" w:cs="仿宋_GB2312"/>
          <w:color w:val="auto"/>
          <w:sz w:val="32"/>
          <w:szCs w:val="32"/>
          <w:shd w:val="clear" w:color="auto" w:fill="auto"/>
        </w:rPr>
      </w:pPr>
    </w:p>
    <w:p>
      <w:pPr>
        <w:adjustRightInd w:val="0"/>
        <w:snapToGrid w:val="0"/>
        <w:spacing w:line="590" w:lineRule="exact"/>
        <w:rPr>
          <w:rFonts w:ascii="仿宋_GB2312" w:hAnsi="仿宋_GB2312" w:eastAsia="仿宋_GB2312" w:cs="仿宋_GB2312"/>
          <w:color w:val="auto"/>
          <w:sz w:val="32"/>
          <w:szCs w:val="32"/>
          <w:u w:val="single"/>
          <w:shd w:val="clear" w:color="auto" w:fill="auto"/>
        </w:rPr>
      </w:pPr>
      <w:r>
        <w:rPr>
          <w:rFonts w:hint="eastAsia" w:ascii="仿宋_GB2312" w:hAnsi="仿宋_GB2312" w:eastAsia="仿宋_GB2312" w:cs="仿宋_GB2312"/>
          <w:color w:val="auto"/>
          <w:sz w:val="32"/>
          <w:szCs w:val="32"/>
          <w:shd w:val="clear" w:color="auto" w:fill="auto"/>
        </w:rPr>
        <w:t>单位名称：</w:t>
      </w:r>
    </w:p>
    <w:p>
      <w:pPr>
        <w:adjustRightInd w:val="0"/>
        <w:snapToGrid w:val="0"/>
        <w:spacing w:line="590" w:lineRule="exact"/>
        <w:rPr>
          <w:rFonts w:ascii="仿宋_GB2312" w:hAnsi="仿宋_GB2312" w:eastAsia="仿宋_GB2312" w:cs="仿宋_GB2312"/>
          <w:color w:val="auto"/>
          <w:sz w:val="32"/>
          <w:szCs w:val="32"/>
          <w:u w:val="single"/>
          <w:shd w:val="clear" w:color="auto" w:fill="auto"/>
        </w:rPr>
      </w:pPr>
      <w:r>
        <w:rPr>
          <w:rFonts w:hint="eastAsia" w:ascii="仿宋_GB2312" w:hAnsi="仿宋_GB2312" w:eastAsia="仿宋_GB2312" w:cs="仿宋_GB2312"/>
          <w:color w:val="auto"/>
          <w:sz w:val="32"/>
          <w:szCs w:val="32"/>
          <w:shd w:val="clear" w:color="auto" w:fill="auto"/>
        </w:rPr>
        <w:t>地址：</w:t>
      </w:r>
    </w:p>
    <w:p>
      <w:pPr>
        <w:adjustRightInd w:val="0"/>
        <w:snapToGrid w:val="0"/>
        <w:spacing w:line="590" w:lineRule="exact"/>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姓名：    性别：年龄：  职务：联系方式：   系委托代表人。为施工、竣工和保修项目，签署上述项目的投标文件、进行合同谈判、签署合同和处理与之有关的一切事务。</w:t>
      </w:r>
    </w:p>
    <w:p>
      <w:pPr>
        <w:adjustRightInd w:val="0"/>
        <w:snapToGrid w:val="0"/>
        <w:spacing w:line="590" w:lineRule="exact"/>
        <w:rPr>
          <w:rFonts w:ascii="仿宋_GB2312" w:hAnsi="仿宋_GB2312" w:eastAsia="仿宋_GB2312" w:cs="仿宋_GB2312"/>
          <w:color w:val="auto"/>
          <w:sz w:val="32"/>
          <w:szCs w:val="32"/>
          <w:shd w:val="clear" w:color="auto" w:fill="auto"/>
        </w:rPr>
      </w:pPr>
    </w:p>
    <w:p>
      <w:pPr>
        <w:adjustRightInd w:val="0"/>
        <w:snapToGrid w:val="0"/>
        <w:spacing w:line="590" w:lineRule="exact"/>
        <w:ind w:firstLine="6240" w:firstLineChars="195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 xml:space="preserve">投标人（盖章）：   </w:t>
      </w:r>
    </w:p>
    <w:p>
      <w:pPr>
        <w:adjustRightInd w:val="0"/>
        <w:snapToGrid w:val="0"/>
        <w:spacing w:line="590" w:lineRule="exact"/>
        <w:ind w:firstLine="6560" w:firstLineChars="205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年   月  日</w:t>
      </w:r>
    </w:p>
    <w:p>
      <w:pPr>
        <w:adjustRightInd w:val="0"/>
        <w:snapToGrid w:val="0"/>
        <w:spacing w:line="590" w:lineRule="exact"/>
        <w:jc w:val="center"/>
        <w:rPr>
          <w:rFonts w:ascii="仿宋_GB2312" w:hAnsi="仿宋_GB2312" w:eastAsia="仿宋_GB2312" w:cs="仿宋_GB2312"/>
          <w:b/>
          <w:color w:val="auto"/>
          <w:sz w:val="32"/>
          <w:szCs w:val="32"/>
          <w:shd w:val="clear" w:color="auto" w:fill="auto"/>
        </w:rPr>
      </w:pPr>
    </w:p>
    <w:p>
      <w:pPr>
        <w:adjustRightInd w:val="0"/>
        <w:snapToGrid w:val="0"/>
        <w:spacing w:line="590" w:lineRule="exact"/>
        <w:jc w:val="center"/>
        <w:rPr>
          <w:rFonts w:ascii="仿宋_GB2312" w:hAnsi="仿宋_GB2312" w:eastAsia="仿宋_GB2312" w:cs="仿宋_GB2312"/>
          <w:b/>
          <w:color w:val="auto"/>
          <w:sz w:val="32"/>
          <w:szCs w:val="32"/>
          <w:shd w:val="clear" w:color="auto" w:fill="auto"/>
        </w:rPr>
      </w:pPr>
    </w:p>
    <w:p>
      <w:pPr>
        <w:adjustRightInd w:val="0"/>
        <w:snapToGrid w:val="0"/>
        <w:spacing w:line="590" w:lineRule="exact"/>
        <w:jc w:val="center"/>
        <w:rPr>
          <w:rFonts w:ascii="仿宋_GB2312" w:hAnsi="仿宋_GB2312" w:eastAsia="仿宋_GB2312" w:cs="仿宋_GB2312"/>
          <w:b/>
          <w:color w:val="auto"/>
          <w:sz w:val="32"/>
          <w:szCs w:val="32"/>
          <w:shd w:val="clear" w:color="auto" w:fill="auto"/>
        </w:rPr>
      </w:pPr>
      <w:r>
        <w:rPr>
          <w:rFonts w:hint="eastAsia" w:ascii="仿宋_GB2312" w:hAnsi="仿宋_GB2312" w:eastAsia="仿宋_GB2312" w:cs="仿宋_GB2312"/>
          <w:b/>
          <w:color w:val="auto"/>
          <w:sz w:val="32"/>
          <w:szCs w:val="32"/>
          <w:shd w:val="clear" w:color="auto" w:fill="auto"/>
        </w:rPr>
        <w:t>三、投标承诺书</w:t>
      </w:r>
    </w:p>
    <w:p>
      <w:pPr>
        <w:tabs>
          <w:tab w:val="left" w:pos="5355"/>
        </w:tabs>
        <w:adjustRightInd w:val="0"/>
        <w:snapToGrid w:val="0"/>
        <w:spacing w:before="100" w:beforeAutospacing="1" w:after="100" w:afterAutospacing="1" w:line="590" w:lineRule="exact"/>
        <w:ind w:firstLine="640" w:firstLineChars="200"/>
        <w:rPr>
          <w:rFonts w:ascii="仿宋_GB2312" w:hAnsi="仿宋_GB2312" w:eastAsia="仿宋_GB2312" w:cs="仿宋_GB2312"/>
          <w:bCs/>
          <w:color w:val="auto"/>
          <w:sz w:val="32"/>
          <w:szCs w:val="32"/>
          <w:shd w:val="clear" w:color="auto" w:fill="auto"/>
        </w:rPr>
      </w:pPr>
      <w:r>
        <w:rPr>
          <w:rFonts w:hint="eastAsia" w:ascii="仿宋_GB2312" w:hAnsi="仿宋_GB2312" w:eastAsia="仿宋_GB2312" w:cs="仿宋_GB2312"/>
          <w:bCs/>
          <w:color w:val="auto"/>
          <w:sz w:val="32"/>
          <w:szCs w:val="32"/>
          <w:shd w:val="clear" w:color="auto" w:fill="auto"/>
        </w:rPr>
        <w:t>我司承诺对项目的院内公开招标最终确定的综合评定最优结果表示认可，并承诺不会对福建省肿瘤医院在本项目招标过程中的工作模式以及终止本项目招标的应能提出疑议。</w:t>
      </w:r>
    </w:p>
    <w:p>
      <w:pPr>
        <w:tabs>
          <w:tab w:val="left" w:pos="5355"/>
        </w:tabs>
        <w:adjustRightInd w:val="0"/>
        <w:snapToGrid w:val="0"/>
        <w:spacing w:before="100" w:beforeAutospacing="1" w:after="100" w:afterAutospacing="1" w:line="590" w:lineRule="exact"/>
        <w:ind w:firstLine="640" w:firstLineChars="20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bCs/>
          <w:color w:val="auto"/>
          <w:sz w:val="32"/>
          <w:szCs w:val="32"/>
          <w:shd w:val="clear" w:color="auto" w:fill="auto"/>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pPr>
        <w:tabs>
          <w:tab w:val="left" w:pos="5355"/>
        </w:tabs>
        <w:adjustRightInd w:val="0"/>
        <w:snapToGrid w:val="0"/>
        <w:spacing w:before="100" w:beforeAutospacing="1" w:after="100" w:afterAutospacing="1" w:line="590" w:lineRule="exact"/>
        <w:ind w:firstLine="640" w:firstLineChars="20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bCs/>
          <w:color w:val="auto"/>
          <w:sz w:val="32"/>
          <w:szCs w:val="32"/>
          <w:shd w:val="clear" w:color="auto" w:fill="auto"/>
        </w:rPr>
        <w:t>我司承诺福建省肿瘤医院在授予我司合同时有权利增加补充相关内容。</w:t>
      </w:r>
    </w:p>
    <w:p>
      <w:pPr>
        <w:tabs>
          <w:tab w:val="left" w:pos="5355"/>
        </w:tabs>
        <w:adjustRightInd w:val="0"/>
        <w:snapToGrid w:val="0"/>
        <w:spacing w:before="100" w:beforeAutospacing="1" w:after="100" w:afterAutospacing="1" w:line="590" w:lineRule="exact"/>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投标人名称（全称并加公章）：</w:t>
      </w:r>
    </w:p>
    <w:p>
      <w:pPr>
        <w:tabs>
          <w:tab w:val="left" w:pos="5355"/>
        </w:tabs>
        <w:adjustRightInd w:val="0"/>
        <w:snapToGrid w:val="0"/>
        <w:spacing w:before="100" w:beforeAutospacing="1" w:after="100" w:afterAutospacing="1" w:line="590" w:lineRule="exact"/>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投标人代表签字：</w:t>
      </w:r>
    </w:p>
    <w:p>
      <w:pPr>
        <w:tabs>
          <w:tab w:val="left" w:pos="5355"/>
        </w:tabs>
        <w:adjustRightInd w:val="0"/>
        <w:snapToGrid w:val="0"/>
        <w:spacing w:before="100" w:beforeAutospacing="1" w:after="100" w:afterAutospacing="1" w:line="590" w:lineRule="exact"/>
        <w:rPr>
          <w:rFonts w:ascii="仿宋_GB2312" w:hAnsi="仿宋_GB2312" w:eastAsia="仿宋_GB2312" w:cs="仿宋_GB2312"/>
          <w:b/>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日期：     年    月   日</w:t>
      </w:r>
    </w:p>
    <w:p>
      <w:pPr>
        <w:adjustRightInd w:val="0"/>
        <w:snapToGrid w:val="0"/>
        <w:spacing w:line="590" w:lineRule="exact"/>
        <w:rPr>
          <w:rFonts w:ascii="仿宋_GB2312" w:hAnsi="仿宋_GB2312" w:eastAsia="仿宋_GB2312" w:cs="仿宋_GB2312"/>
          <w:color w:val="auto"/>
          <w:sz w:val="32"/>
          <w:szCs w:val="32"/>
          <w:shd w:val="clear" w:color="auto" w:fill="auto"/>
        </w:rPr>
      </w:pPr>
    </w:p>
    <w:p>
      <w:pPr>
        <w:adjustRightInd w:val="0"/>
        <w:snapToGrid w:val="0"/>
        <w:spacing w:line="590" w:lineRule="exact"/>
        <w:rPr>
          <w:rFonts w:ascii="仿宋_GB2312" w:hAnsi="仿宋_GB2312" w:eastAsia="仿宋_GB2312" w:cs="仿宋_GB2312"/>
          <w:color w:val="auto"/>
          <w:sz w:val="32"/>
          <w:szCs w:val="32"/>
          <w:shd w:val="clear" w:color="auto" w:fill="auto"/>
        </w:rPr>
      </w:pPr>
    </w:p>
    <w:p>
      <w:pPr>
        <w:adjustRightInd w:val="0"/>
        <w:snapToGrid w:val="0"/>
        <w:spacing w:line="590" w:lineRule="exact"/>
        <w:jc w:val="center"/>
        <w:rPr>
          <w:rFonts w:ascii="仿宋_GB2312" w:hAnsi="仿宋_GB2312" w:eastAsia="仿宋_GB2312" w:cs="仿宋_GB2312"/>
          <w:b/>
          <w:color w:val="auto"/>
          <w:sz w:val="32"/>
          <w:szCs w:val="32"/>
          <w:shd w:val="clear" w:color="auto" w:fill="auto"/>
        </w:rPr>
      </w:pPr>
      <w:r>
        <w:rPr>
          <w:rFonts w:hint="eastAsia" w:ascii="仿宋_GB2312" w:hAnsi="仿宋_GB2312" w:eastAsia="仿宋_GB2312" w:cs="仿宋_GB2312"/>
          <w:b/>
          <w:color w:val="auto"/>
          <w:sz w:val="32"/>
          <w:szCs w:val="32"/>
          <w:shd w:val="clear" w:color="auto" w:fill="auto"/>
        </w:rPr>
        <w:t>四、投标方案</w:t>
      </w:r>
    </w:p>
    <w:p>
      <w:pPr>
        <w:adjustRightInd w:val="0"/>
        <w:snapToGrid w:val="0"/>
        <w:spacing w:line="590" w:lineRule="exact"/>
        <w:ind w:firstLine="640" w:firstLineChars="200"/>
        <w:rPr>
          <w:rFonts w:ascii="仿宋_GB2312" w:hAnsi="仿宋_GB2312" w:eastAsia="仿宋_GB2312" w:cs="仿宋_GB2312"/>
          <w:color w:val="auto"/>
          <w:sz w:val="32"/>
          <w:szCs w:val="32"/>
          <w:shd w:val="clear" w:color="auto" w:fill="auto"/>
        </w:rPr>
      </w:pPr>
    </w:p>
    <w:p>
      <w:pPr>
        <w:tabs>
          <w:tab w:val="left" w:pos="1600"/>
        </w:tabs>
        <w:adjustRightInd w:val="0"/>
        <w:snapToGrid w:val="0"/>
        <w:spacing w:line="590" w:lineRule="exact"/>
        <w:ind w:left="330" w:firstLine="240"/>
        <w:jc w:val="center"/>
        <w:rPr>
          <w:rFonts w:ascii="仿宋_GB2312" w:hAnsi="仿宋_GB2312" w:eastAsia="仿宋_GB2312" w:cs="仿宋_GB2312"/>
          <w:b/>
          <w:color w:val="auto"/>
          <w:sz w:val="32"/>
          <w:szCs w:val="32"/>
          <w:shd w:val="clear" w:color="auto" w:fill="auto"/>
        </w:rPr>
      </w:pPr>
      <w:r>
        <w:rPr>
          <w:rFonts w:hint="eastAsia" w:ascii="仿宋_GB2312" w:hAnsi="仿宋_GB2312" w:eastAsia="仿宋_GB2312" w:cs="仿宋_GB2312"/>
          <w:b/>
          <w:color w:val="auto"/>
          <w:sz w:val="32"/>
          <w:szCs w:val="32"/>
          <w:shd w:val="clear" w:color="auto" w:fill="auto"/>
        </w:rPr>
        <w:t>五、投标人提交的其它材料</w:t>
      </w:r>
    </w:p>
    <w:p>
      <w:pPr>
        <w:adjustRightInd w:val="0"/>
        <w:snapToGrid w:val="0"/>
        <w:spacing w:line="590" w:lineRule="exact"/>
        <w:rPr>
          <w:rFonts w:ascii="仿宋_GB2312" w:hAnsi="仿宋_GB2312" w:eastAsia="仿宋_GB2312" w:cs="仿宋_GB2312"/>
          <w:color w:val="auto"/>
          <w:sz w:val="32"/>
          <w:szCs w:val="32"/>
          <w:shd w:val="clear" w:color="auto" w:fill="auto"/>
        </w:rPr>
      </w:pPr>
    </w:p>
    <w:p>
      <w:pPr>
        <w:adjustRightInd w:val="0"/>
        <w:snapToGrid w:val="0"/>
        <w:spacing w:line="590" w:lineRule="exact"/>
        <w:rPr>
          <w:rFonts w:ascii="仿宋_GB2312" w:hAnsi="仿宋_GB2312" w:eastAsia="仿宋_GB2312" w:cs="仿宋_GB2312"/>
          <w:color w:val="auto"/>
          <w:sz w:val="32"/>
          <w:szCs w:val="32"/>
          <w:shd w:val="clear" w:color="auto" w:fill="auto"/>
        </w:rPr>
      </w:pPr>
    </w:p>
    <w:sectPr>
      <w:pgSz w:w="11906" w:h="16838"/>
      <w:pgMar w:top="1814"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75063653">
    <w:nsid w:val="63D77165"/>
    <w:multiLevelType w:val="singleLevel"/>
    <w:tmpl w:val="63D77165"/>
    <w:lvl w:ilvl="0" w:tentative="1">
      <w:start w:val="2"/>
      <w:numFmt w:val="decimal"/>
      <w:suff w:val="nothing"/>
      <w:lvlText w:val="%1、"/>
      <w:lvlJc w:val="left"/>
    </w:lvl>
  </w:abstractNum>
  <w:abstractNum w:abstractNumId="594674253">
    <w:nsid w:val="2372024D"/>
    <w:multiLevelType w:val="multilevel"/>
    <w:tmpl w:val="2372024D"/>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215036519">
    <w:nsid w:val="8406C667"/>
    <w:multiLevelType w:val="singleLevel"/>
    <w:tmpl w:val="8406C667"/>
    <w:lvl w:ilvl="0" w:tentative="1">
      <w:start w:val="2"/>
      <w:numFmt w:val="chineseCounting"/>
      <w:suff w:val="nothing"/>
      <w:lvlText w:val="%1、"/>
      <w:lvlJc w:val="left"/>
      <w:rPr>
        <w:rFonts w:hint="eastAsia"/>
      </w:rPr>
    </w:lvl>
  </w:abstractNum>
  <w:abstractNum w:abstractNumId="1686896950">
    <w:nsid w:val="648C0136"/>
    <w:multiLevelType w:val="singleLevel"/>
    <w:tmpl w:val="648C0136"/>
    <w:lvl w:ilvl="0" w:tentative="1">
      <w:start w:val="11"/>
      <w:numFmt w:val="chineseCounting"/>
      <w:suff w:val="nothing"/>
      <w:lvlText w:val="%1、"/>
      <w:lvlJc w:val="left"/>
    </w:lvl>
  </w:abstractNum>
  <w:abstractNum w:abstractNumId="899797040">
    <w:nsid w:val="35A1D030"/>
    <w:multiLevelType w:val="multilevel"/>
    <w:tmpl w:val="35A1D030"/>
    <w:lvl w:ilvl="0" w:tentative="1">
      <w:start w:val="1"/>
      <w:numFmt w:val="none"/>
      <w:lvlText w:val="%1."/>
      <w:lvlJc w:val="left"/>
      <w:pPr>
        <w:tabs>
          <w:tab w:val="left" w:pos="720"/>
        </w:tabs>
        <w:ind w:left="720" w:hanging="360"/>
      </w:pPr>
      <w:rPr>
        <w:sz w:val="24"/>
        <w:szCs w:val="24"/>
      </w:rPr>
    </w:lvl>
    <w:lvl w:ilvl="1" w:tentative="1">
      <w:start w:val="1"/>
      <w:numFmt w:val="none"/>
      <w:lvlText w:val="%2."/>
      <w:lvlJc w:val="left"/>
      <w:pPr>
        <w:tabs>
          <w:tab w:val="left" w:pos="1440"/>
        </w:tabs>
        <w:ind w:left="1440" w:hanging="360"/>
      </w:pPr>
      <w:rPr>
        <w:sz w:val="24"/>
        <w:szCs w:val="24"/>
      </w:rPr>
    </w:lvl>
    <w:lvl w:ilvl="2" w:tentative="1">
      <w:start w:val="1"/>
      <w:numFmt w:val="none"/>
      <w:lvlText w:val="%3."/>
      <w:lvlJc w:val="left"/>
      <w:pPr>
        <w:tabs>
          <w:tab w:val="left" w:pos="2160"/>
        </w:tabs>
        <w:ind w:left="2160" w:hanging="360"/>
      </w:pPr>
      <w:rPr>
        <w:sz w:val="24"/>
        <w:szCs w:val="24"/>
      </w:rPr>
    </w:lvl>
    <w:lvl w:ilvl="3" w:tentative="1">
      <w:start w:val="1"/>
      <w:numFmt w:val="none"/>
      <w:lvlText w:val="%4."/>
      <w:lvlJc w:val="left"/>
      <w:pPr>
        <w:tabs>
          <w:tab w:val="left" w:pos="2517"/>
        </w:tabs>
        <w:ind w:left="2880" w:hanging="360"/>
      </w:pPr>
      <w:rPr>
        <w:sz w:val="24"/>
        <w:szCs w:val="24"/>
      </w:rPr>
    </w:lvl>
    <w:lvl w:ilvl="4" w:tentative="1">
      <w:start w:val="1"/>
      <w:numFmt w:val="none"/>
      <w:lvlText w:val="%5."/>
      <w:lvlJc w:val="left"/>
      <w:pPr>
        <w:tabs>
          <w:tab w:val="left" w:pos="3238"/>
        </w:tabs>
        <w:ind w:left="3600" w:hanging="360"/>
      </w:pPr>
      <w:rPr>
        <w:sz w:val="24"/>
        <w:szCs w:val="24"/>
      </w:rPr>
    </w:lvl>
    <w:lvl w:ilvl="5" w:tentative="1">
      <w:start w:val="1"/>
      <w:numFmt w:val="none"/>
      <w:lvlText w:val="%6."/>
      <w:lvlJc w:val="left"/>
      <w:pPr>
        <w:tabs>
          <w:tab w:val="left" w:pos="3958"/>
        </w:tabs>
        <w:ind w:left="4320" w:hanging="360"/>
      </w:pPr>
      <w:rPr>
        <w:sz w:val="24"/>
        <w:szCs w:val="24"/>
      </w:rPr>
    </w:lvl>
    <w:lvl w:ilvl="6" w:tentative="1">
      <w:start w:val="1"/>
      <w:numFmt w:val="none"/>
      <w:lvlText w:val="%7."/>
      <w:lvlJc w:val="left"/>
      <w:pPr>
        <w:tabs>
          <w:tab w:val="left" w:pos="4678"/>
        </w:tabs>
        <w:ind w:left="5040" w:hanging="360"/>
      </w:pPr>
      <w:rPr>
        <w:sz w:val="24"/>
        <w:szCs w:val="24"/>
      </w:rPr>
    </w:lvl>
    <w:lvl w:ilvl="7" w:tentative="1">
      <w:start w:val="1"/>
      <w:numFmt w:val="none"/>
      <w:lvlText w:val="%8."/>
      <w:lvlJc w:val="left"/>
      <w:pPr>
        <w:tabs>
          <w:tab w:val="left" w:pos="5398"/>
        </w:tabs>
        <w:ind w:left="5760" w:hanging="360"/>
      </w:pPr>
      <w:rPr>
        <w:sz w:val="24"/>
        <w:szCs w:val="24"/>
      </w:rPr>
    </w:lvl>
    <w:lvl w:ilvl="8" w:tentative="1">
      <w:start w:val="1"/>
      <w:numFmt w:val="none"/>
      <w:lvlText w:val="%9."/>
      <w:lvlJc w:val="left"/>
      <w:pPr>
        <w:tabs>
          <w:tab w:val="left" w:pos="6118"/>
        </w:tabs>
        <w:ind w:left="6480" w:hanging="360"/>
      </w:pPr>
      <w:rPr>
        <w:sz w:val="24"/>
        <w:szCs w:val="24"/>
      </w:rPr>
    </w:lvl>
  </w:abstractNum>
  <w:abstractNum w:abstractNumId="3996564523">
    <w:nsid w:val="EE36BC2B"/>
    <w:multiLevelType w:val="singleLevel"/>
    <w:tmpl w:val="EE36BC2B"/>
    <w:lvl w:ilvl="0" w:tentative="1">
      <w:start w:val="7"/>
      <w:numFmt w:val="chineseCounting"/>
      <w:suff w:val="nothing"/>
      <w:lvlText w:val="%1、"/>
      <w:lvlJc w:val="left"/>
      <w:rPr>
        <w:rFonts w:hint="eastAsia"/>
      </w:rPr>
    </w:lvl>
  </w:abstractNum>
  <w:abstractNum w:abstractNumId="269363454">
    <w:nsid w:val="100E28FE"/>
    <w:multiLevelType w:val="multilevel"/>
    <w:tmpl w:val="100E28FE"/>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36125702">
    <w:nsid w:val="677B2D06"/>
    <w:multiLevelType w:val="singleLevel"/>
    <w:tmpl w:val="677B2D06"/>
    <w:lvl w:ilvl="0" w:tentative="1">
      <w:start w:val="1"/>
      <w:numFmt w:val="decimal"/>
      <w:suff w:val="nothing"/>
      <w:lvlText w:val="%1、"/>
      <w:lvlJc w:val="left"/>
    </w:lvl>
  </w:abstractNum>
  <w:num w:numId="1">
    <w:abstractNumId w:val="2215036519"/>
  </w:num>
  <w:num w:numId="2">
    <w:abstractNumId w:val="3996564523"/>
  </w:num>
  <w:num w:numId="3">
    <w:abstractNumId w:val="1736125702"/>
  </w:num>
  <w:num w:numId="4">
    <w:abstractNumId w:val="1675063653"/>
  </w:num>
  <w:num w:numId="5">
    <w:abstractNumId w:val="1686896950"/>
  </w:num>
  <w:num w:numId="6">
    <w:abstractNumId w:val="594674253"/>
  </w:num>
  <w:num w:numId="7">
    <w:abstractNumId w:val="269363454"/>
  </w:num>
  <w:num w:numId="8">
    <w:abstractNumId w:val="8997970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WYwOWNhMWIwMTM5Y2VhMTQwZDE5YzA3MTI0ODg5N2E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qFormat="1"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iPriority="99" w:semiHidden="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0" w:name="annotation subject"/>
    <w:lsdException w:qFormat="1"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9"/>
    <w:pPr>
      <w:spacing w:beforeAutospacing="1" w:afterAutospacing="1"/>
      <w:jc w:val="left"/>
      <w:outlineLvl w:val="3"/>
    </w:pPr>
    <w:rPr>
      <w:rFonts w:hint="eastAsia" w:ascii="宋体" w:hAnsi="宋体" w:cs="宋体"/>
      <w:b/>
      <w:bCs/>
      <w:kern w:val="0"/>
      <w:sz w:val="24"/>
    </w:rPr>
  </w:style>
  <w:style w:type="character" w:default="1" w:styleId="13">
    <w:name w:val="Default Paragraph Font"/>
    <w:semiHidden/>
    <w:unhideWhenUsed/>
    <w:uiPriority w:val="1"/>
  </w:style>
  <w:style w:type="paragraph" w:styleId="3">
    <w:name w:val="Normal Indent"/>
    <w:basedOn w:val="1"/>
    <w:link w:val="22"/>
    <w:qFormat/>
    <w:uiPriority w:val="0"/>
    <w:pPr>
      <w:widowControl/>
      <w:ind w:firstLine="420"/>
      <w:jc w:val="left"/>
    </w:pPr>
    <w:rPr>
      <w:kern w:val="0"/>
      <w:sz w:val="20"/>
      <w:szCs w:val="20"/>
    </w:rPr>
  </w:style>
  <w:style w:type="paragraph" w:styleId="4">
    <w:name w:val="Body Text"/>
    <w:basedOn w:val="1"/>
    <w:next w:val="5"/>
    <w:semiHidden/>
    <w:unhideWhenUsed/>
    <w:uiPriority w:val="99"/>
    <w:rPr>
      <w:rFonts w:ascii="仿宋_GB2312" w:eastAsia="仿宋_GB2312"/>
      <w:sz w:val="32"/>
    </w:rPr>
  </w:style>
  <w:style w:type="paragraph" w:customStyle="1" w:styleId="5">
    <w:name w:val="引用1"/>
    <w:basedOn w:val="1"/>
    <w:next w:val="1"/>
    <w:qFormat/>
    <w:uiPriority w:val="29"/>
    <w:pPr>
      <w:spacing w:beforeLines="50" w:afterLines="50" w:line="360" w:lineRule="auto"/>
    </w:pPr>
    <w:rPr>
      <w:i/>
      <w:iCs/>
      <w:color w:val="000000"/>
      <w:lang w:val="zh-CN"/>
    </w:rPr>
  </w:style>
  <w:style w:type="paragraph" w:styleId="6">
    <w:name w:val="Plain Text"/>
    <w:basedOn w:val="1"/>
    <w:link w:val="23"/>
    <w:unhideWhenUsed/>
    <w:qFormat/>
    <w:uiPriority w:val="0"/>
    <w:rPr>
      <w:rFonts w:ascii="宋体" w:hAnsi="Courier New" w:eastAsia="微软雅黑"/>
      <w:kern w:val="0"/>
      <w:sz w:val="22"/>
      <w:szCs w:val="20"/>
    </w:rPr>
  </w:style>
  <w:style w:type="paragraph" w:styleId="7">
    <w:name w:val="Balloon Text"/>
    <w:basedOn w:val="1"/>
    <w:link w:val="26"/>
    <w:semiHidden/>
    <w:unhideWhenUsed/>
    <w:qFormat/>
    <w:uiPriority w:val="99"/>
    <w:rPr>
      <w:sz w:val="18"/>
      <w:szCs w:val="18"/>
    </w:rPr>
  </w:style>
  <w:style w:type="paragraph" w:styleId="8">
    <w:name w:val="footer"/>
    <w:basedOn w:val="1"/>
    <w:link w:val="20"/>
    <w:unhideWhenUsed/>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Message Header"/>
    <w:basedOn w:val="1"/>
    <w:link w:val="2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11">
    <w:name w:val="HTML Preformatted"/>
    <w:basedOn w:val="1"/>
    <w:link w:val="2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2">
    <w:name w:val="Normal (Web)"/>
    <w:basedOn w:val="1"/>
    <w:qFormat/>
    <w:uiPriority w:val="99"/>
    <w:pPr>
      <w:spacing w:before="100" w:beforeAutospacing="1" w:after="100" w:afterAutospacing="1"/>
      <w:jc w:val="left"/>
    </w:pPr>
    <w:rPr>
      <w:kern w:val="0"/>
      <w:sz w:val="24"/>
    </w:rPr>
  </w:style>
  <w:style w:type="character" w:styleId="14">
    <w:name w:val="Strong"/>
    <w:basedOn w:val="13"/>
    <w:qFormat/>
    <w:uiPriority w:val="22"/>
    <w:rPr>
      <w:b/>
    </w:rPr>
  </w:style>
  <w:style w:type="character" w:styleId="15">
    <w:name w:val="Hyperlink"/>
    <w:qFormat/>
    <w:uiPriority w:val="0"/>
    <w:rPr>
      <w:color w:val="0000FF"/>
      <w:u w:val="single"/>
    </w:rPr>
  </w:style>
  <w:style w:type="paragraph" w:customStyle="1" w:styleId="16">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7">
    <w:name w:val="Default"/>
    <w:qFormat/>
    <w:uiPriority w:val="0"/>
    <w:pPr>
      <w:widowControl w:val="0"/>
      <w:autoSpaceDE w:val="0"/>
      <w:autoSpaceDN w:val="0"/>
      <w:adjustRightInd w:val="0"/>
    </w:pPr>
    <w:rPr>
      <w:rFonts w:ascii="宋体"/>
      <w:color w:val="000000"/>
      <w:sz w:val="24"/>
      <w:szCs w:val="24"/>
    </w:rPr>
  </w:style>
  <w:style w:type="paragraph" w:customStyle="1" w:styleId="18">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9">
    <w:name w:val="页眉 字符"/>
    <w:basedOn w:val="13"/>
    <w:link w:val="9"/>
    <w:qFormat/>
    <w:uiPriority w:val="99"/>
    <w:rPr>
      <w:sz w:val="18"/>
      <w:szCs w:val="18"/>
    </w:rPr>
  </w:style>
  <w:style w:type="character" w:customStyle="1" w:styleId="20">
    <w:name w:val="页脚 字符"/>
    <w:basedOn w:val="13"/>
    <w:link w:val="8"/>
    <w:qFormat/>
    <w:uiPriority w:val="99"/>
    <w:rPr>
      <w:sz w:val="18"/>
      <w:szCs w:val="18"/>
    </w:rPr>
  </w:style>
  <w:style w:type="character" w:customStyle="1" w:styleId="21">
    <w:name w:val="信息标题 字符"/>
    <w:basedOn w:val="13"/>
    <w:link w:val="10"/>
    <w:qFormat/>
    <w:uiPriority w:val="99"/>
    <w:rPr>
      <w:rFonts w:ascii="Cambria" w:hAnsi="Cambria" w:eastAsia="宋体" w:cs="Times New Roman"/>
      <w:kern w:val="0"/>
      <w:sz w:val="24"/>
      <w:szCs w:val="24"/>
      <w:shd w:val="pct20" w:color="auto" w:fill="auto"/>
    </w:rPr>
  </w:style>
  <w:style w:type="character" w:customStyle="1" w:styleId="22">
    <w:name w:val="正文缩进 字符"/>
    <w:link w:val="3"/>
    <w:qFormat/>
    <w:uiPriority w:val="0"/>
    <w:rPr>
      <w:rFonts w:ascii="Times New Roman" w:hAnsi="Times New Roman" w:eastAsia="宋体" w:cs="Times New Roman"/>
      <w:kern w:val="0"/>
      <w:sz w:val="20"/>
      <w:szCs w:val="20"/>
    </w:rPr>
  </w:style>
  <w:style w:type="character" w:customStyle="1" w:styleId="23">
    <w:name w:val="纯文本 字符"/>
    <w:basedOn w:val="13"/>
    <w:link w:val="6"/>
    <w:qFormat/>
    <w:uiPriority w:val="0"/>
    <w:rPr>
      <w:rFonts w:ascii="宋体" w:hAnsi="Courier New" w:eastAsia="微软雅黑" w:cs="Times New Roman"/>
      <w:kern w:val="0"/>
      <w:sz w:val="22"/>
      <w:szCs w:val="20"/>
    </w:rPr>
  </w:style>
  <w:style w:type="character" w:customStyle="1" w:styleId="24">
    <w:name w:val="HTML 预设格式 字符"/>
    <w:basedOn w:val="13"/>
    <w:link w:val="11"/>
    <w:qFormat/>
    <w:uiPriority w:val="0"/>
    <w:rPr>
      <w:rFonts w:ascii="宋体" w:hAnsi="宋体" w:eastAsia="宋体" w:cs="Times New Roman"/>
      <w:kern w:val="0"/>
      <w:sz w:val="24"/>
      <w:szCs w:val="24"/>
    </w:rPr>
  </w:style>
  <w:style w:type="character" w:customStyle="1" w:styleId="25">
    <w:name w:val="font01"/>
    <w:basedOn w:val="13"/>
    <w:qFormat/>
    <w:uiPriority w:val="0"/>
    <w:rPr>
      <w:rFonts w:hint="eastAsia" w:ascii="宋体" w:hAnsi="宋体" w:eastAsia="宋体" w:cs="宋体"/>
      <w:color w:val="000000"/>
      <w:sz w:val="20"/>
      <w:szCs w:val="20"/>
      <w:u w:val="none"/>
    </w:rPr>
  </w:style>
  <w:style w:type="character" w:customStyle="1" w:styleId="26">
    <w:name w:val="批注框文本 字符"/>
    <w:basedOn w:val="13"/>
    <w:link w:val="7"/>
    <w:semiHidden/>
    <w:qFormat/>
    <w:uiPriority w:val="99"/>
    <w:rPr>
      <w:rFonts w:ascii="Times New Roman" w:hAnsi="Times New Roman" w:eastAsia="宋体" w:cs="Times New Roman"/>
      <w:sz w:val="18"/>
      <w:szCs w:val="18"/>
    </w:rPr>
  </w:style>
  <w:style w:type="character" w:customStyle="1" w:styleId="27">
    <w:name w:val="font3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19</Pages>
  <Words>1302</Words>
  <Characters>7423</Characters>
  <Lines>61</Lines>
  <Paragraphs>17</Paragraphs>
  <TotalTime>0</TotalTime>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2025-01-02T10:49:00Z</dcterms:created>
  <dc:creator>HP Inc.</dc:creator>
  <cp:lastModifiedBy>Admin</cp:lastModifiedBy>
  <cp:lastPrinted>2023-06-05T23:51:00Z</cp:lastPrinted>
  <dcterms:modified xsi:type="dcterms:W3CDTF">2025-01-06T00:56:23Z</dcterms:modified>
  <dc:title>福建省肿瘤医院         采购项目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05E2470B05E747EE9227AB712FF3F5FC_12</vt:lpwstr>
  </property>
</Properties>
</file>