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jc w:val="center"/>
        <w:rPr>
          <w:rFonts w:hint="eastAsia" w:ascii="仿宋_GB2312" w:hAnsi="仿宋_GB2312" w:eastAsia="方正小标宋简体" w:cs="仿宋_GB2312"/>
          <w:b w:val="0"/>
          <w:kern w:val="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/>
        </w:rPr>
        <w:t>福建省肿瘤医院采购需求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</w:rPr>
        <w:t>调研公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/>
        </w:rPr>
        <w:t>告</w:t>
      </w:r>
    </w:p>
    <w:p>
      <w:pPr>
        <w:widowControl/>
        <w:shd w:val="clear" w:color="auto" w:fill="FFFFFF"/>
        <w:wordWrap/>
        <w:adjustRightInd w:val="0"/>
        <w:snapToGrid w:val="0"/>
        <w:spacing w:beforeLines="50" w:line="59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第一部分 须知前附表</w:t>
      </w:r>
    </w:p>
    <w:tbl>
      <w:tblPr>
        <w:tblpPr w:leftFromText="180" w:rightFromText="180" w:vertAnchor="text" w:horzAnchor="page" w:tblpX="1852" w:tblpY="337"/>
        <w:tblOverlap w:val="never"/>
        <w:tblW w:w="87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4"/>
        <w:gridCol w:w="77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77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主　　　要　　　 内　　　 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： 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数据机房集成运维服务</w:t>
            </w:r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4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50" w:line="56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调研报名时间：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2024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12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至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26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(节假日除外)8：00-12：00或14：00-17：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(北京时间）</w:t>
            </w:r>
          </w:p>
          <w:p>
            <w:pPr>
              <w:widowControl/>
              <w:spacing w:line="315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调研会时间：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 w:color="auto"/>
                <w:lang w:val="en-US" w:eastAsia="zh-CN"/>
              </w:rPr>
              <w:t xml:space="preserve"> 2024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12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30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14:30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文件正本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  <w:u w:val="single"/>
              </w:rPr>
              <w:t>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份,副本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  <w:u w:val="single"/>
              </w:rPr>
              <w:t>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份胶装并密封加盖投标人公章。文件未胶装将视为无效。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文件递交处：福建省肿瘤医院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网络技术中心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上述时间、地点如有变动，以单位届时通知为准。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采购报名、采购调研等采购过程中有任何异议，可联系我院监督科室。电话：83660063-8407；83660063-8467。</w:t>
            </w:r>
          </w:p>
        </w:tc>
      </w:tr>
    </w:tbl>
    <w:p>
      <w:pPr>
        <w:widowControl/>
        <w:shd w:val="clear" w:color="auto" w:fill="FFFFFF"/>
        <w:spacing w:line="336" w:lineRule="auto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336" w:lineRule="auto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地　址： 福建省福州市福马路420号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widowControl/>
        <w:shd w:val="clear" w:color="auto" w:fill="FFFFFF"/>
        <w:spacing w:line="336" w:lineRule="auto"/>
        <w:ind w:left="1260" w:leftChars="0" w:firstLine="420" w:firstLineChars="0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福建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省肿瘤医院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科研楼四楼网络技术中心</w:t>
      </w:r>
    </w:p>
    <w:p>
      <w:pPr>
        <w:widowControl/>
        <w:shd w:val="clear" w:color="auto" w:fill="FFFFFF"/>
        <w:spacing w:line="440" w:lineRule="atLeas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邮　编： 350014　 </w:t>
      </w:r>
    </w:p>
    <w:p>
      <w:pPr>
        <w:widowControl/>
        <w:shd w:val="clear" w:color="auto" w:fill="FFFFFF"/>
        <w:spacing w:line="440" w:lineRule="atLeas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报名联系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电话： 0591-83660063-8822</w:t>
      </w:r>
    </w:p>
    <w:p>
      <w:pPr>
        <w:widowControl/>
        <w:shd w:val="clear" w:color="auto" w:fill="FFFFFF"/>
        <w:spacing w:line="440" w:lineRule="atLeast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联系人：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杜工、金工</w:t>
      </w:r>
    </w:p>
    <w:p>
      <w:pPr>
        <w:pStyle w:val="1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widowControl/>
        <w:shd w:val="clear" w:color="auto" w:fill="FFFFFF"/>
        <w:wordWrap/>
        <w:adjustRightInd w:val="0"/>
        <w:snapToGrid w:val="0"/>
        <w:spacing w:line="240" w:lineRule="auto"/>
        <w:ind w:firstLine="42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第二部分 具体要求</w:t>
      </w:r>
    </w:p>
    <w:p>
      <w:pPr>
        <w:widowControl/>
        <w:shd w:val="clear" w:color="auto" w:fill="FFFFFF"/>
        <w:spacing w:line="440" w:lineRule="atLeast"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采购内容</w:t>
      </w:r>
    </w:p>
    <w:tbl>
      <w:tblPr>
        <w:tblpPr w:leftFromText="180" w:rightFromText="180" w:vertAnchor="text" w:horzAnchor="page" w:tblpX="1562" w:tblpY="283"/>
        <w:tblOverlap w:val="never"/>
        <w:tblW w:w="9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3892"/>
        <w:gridCol w:w="1590"/>
        <w:gridCol w:w="18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83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合同包</w:t>
            </w:r>
          </w:p>
        </w:tc>
        <w:tc>
          <w:tcPr>
            <w:tcW w:w="3892" w:type="dxa"/>
            <w:vAlign w:val="center"/>
          </w:tcPr>
          <w:p>
            <w:pPr>
              <w:widowControl/>
              <w:spacing w:afterLines="5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名 称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afterLines="5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894" w:type="dxa"/>
            <w:vAlign w:val="center"/>
          </w:tcPr>
          <w:p>
            <w:pPr>
              <w:widowControl/>
              <w:spacing w:afterLines="5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预算（万元）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</w:trPr>
        <w:tc>
          <w:tcPr>
            <w:tcW w:w="1983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一）</w:t>
            </w:r>
          </w:p>
        </w:tc>
        <w:tc>
          <w:tcPr>
            <w:tcW w:w="3892" w:type="dxa"/>
            <w:vAlign w:val="center"/>
          </w:tcPr>
          <w:p>
            <w:pPr>
              <w:numPr>
                <w:numId w:val="0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数据机房集成运维服务</w:t>
            </w:r>
          </w:p>
        </w:tc>
        <w:tc>
          <w:tcPr>
            <w:tcW w:w="159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89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45</w:t>
            </w:r>
          </w:p>
        </w:tc>
      </w:tr>
    </w:tbl>
    <w:p>
      <w:pPr>
        <w:keepNext/>
        <w:widowControl/>
        <w:numPr>
          <w:numId w:val="0"/>
        </w:numPr>
        <w:shd w:val="clear" w:color="auto" w:fill="FFFFFF"/>
        <w:autoSpaceDE w:val="0"/>
        <w:spacing w:before="120" w:after="120"/>
        <w:ind w:leftChars="0"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技术功能及服务要求</w:t>
      </w:r>
    </w:p>
    <w:p>
      <w:pPr>
        <w:pStyle w:val="10"/>
        <w:widowControl w:val="0"/>
        <w:numPr>
          <w:numId w:val="0"/>
        </w:numPr>
        <w:wordWrap/>
        <w:snapToGrid/>
        <w:spacing w:before="0" w:after="0" w:line="590" w:lineRule="exact"/>
        <w:ind w:right="0"/>
        <w:jc w:val="both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1、合同包（一）</w:t>
      </w:r>
    </w:p>
    <w:p>
      <w:pPr>
        <w:widowControl w:val="0"/>
        <w:wordWrap/>
        <w:adjustRightInd/>
        <w:snapToGrid/>
        <w:spacing w:before="0" w:after="0" w:line="590" w:lineRule="exact"/>
        <w:ind w:left="0" w:leftChars="0" w:right="0" w:firstLine="64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现有数据中心机房3个，服务器约100台，存储15套，光纤存储交换机16台，安全设备20余台，核心区域交换机10余台，虚拟化管理平台4个，虚拟化服务器500余台，虚拟化存储容量约2PB。</w:t>
      </w:r>
    </w:p>
    <w:p>
      <w:pPr>
        <w:widowControl w:val="0"/>
        <w:wordWrap/>
        <w:adjustRightInd/>
        <w:snapToGrid/>
        <w:spacing w:before="0" w:after="0" w:line="590" w:lineRule="exact"/>
        <w:ind w:left="0" w:leftChars="0" w:right="0" w:firstLine="64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t>人员安排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安排</w:t>
      </w:r>
      <w:r>
        <w:rPr>
          <w:rFonts w:hint="eastAsia"/>
          <w:sz w:val="28"/>
          <w:szCs w:val="28"/>
          <w:lang w:val="en-US" w:eastAsia="zh-CN"/>
        </w:rPr>
        <w:t>固定</w:t>
      </w:r>
      <w:r>
        <w:rPr>
          <w:sz w:val="28"/>
          <w:szCs w:val="28"/>
        </w:rPr>
        <w:t>驻场人员</w:t>
      </w:r>
      <w:r>
        <w:rPr>
          <w:rFonts w:hint="eastAsia"/>
          <w:sz w:val="28"/>
          <w:szCs w:val="28"/>
        </w:rPr>
        <w:t>1名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上下班时间跟医院保持一致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后台</w:t>
      </w:r>
      <w:r>
        <w:rPr>
          <w:rFonts w:hint="eastAsia"/>
          <w:sz w:val="28"/>
          <w:szCs w:val="28"/>
          <w:lang w:val="en-US" w:eastAsia="zh-CN"/>
        </w:rPr>
        <w:t>集成服务技术</w:t>
      </w:r>
      <w:r>
        <w:rPr>
          <w:rFonts w:hint="eastAsia"/>
          <w:sz w:val="28"/>
          <w:szCs w:val="28"/>
        </w:rPr>
        <w:t>人员</w:t>
      </w:r>
      <w:r>
        <w:rPr>
          <w:rFonts w:hint="eastAsia"/>
          <w:sz w:val="28"/>
          <w:szCs w:val="28"/>
          <w:lang w:val="en-US" w:eastAsia="zh-CN"/>
        </w:rPr>
        <w:t>4名以上。</w:t>
      </w:r>
    </w:p>
    <w:p>
      <w:pPr>
        <w:widowControl w:val="0"/>
        <w:wordWrap/>
        <w:adjustRightInd/>
        <w:snapToGrid/>
        <w:spacing w:before="0" w:after="0" w:line="59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eastAsia="宋体"/>
          <w:sz w:val="28"/>
          <w:szCs w:val="28"/>
          <w:lang w:eastAsia="zh-CN"/>
        </w:rPr>
      </w:pPr>
      <w:r>
        <w:rPr>
          <w:sz w:val="28"/>
          <w:szCs w:val="28"/>
        </w:rPr>
        <w:t>工作内容</w:t>
      </w:r>
      <w:r>
        <w:rPr>
          <w:rFonts w:hint="eastAsia"/>
          <w:sz w:val="28"/>
          <w:szCs w:val="28"/>
          <w:lang w:eastAsia="zh-CN"/>
        </w:rPr>
        <w:t>：</w:t>
      </w:r>
    </w:p>
    <w:p>
      <w:pPr>
        <w:pStyle w:val="12"/>
        <w:widowControl w:val="0"/>
        <w:numPr>
          <w:ilvl w:val="2"/>
          <w:numId w:val="1"/>
        </w:numPr>
        <w:wordWrap/>
        <w:snapToGrid/>
        <w:spacing w:before="0" w:after="0" w:line="590" w:lineRule="exact"/>
        <w:ind w:left="1240" w:leftChars="0" w:right="0" w:hanging="360" w:firstLineChars="0"/>
        <w:jc w:val="both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协助</w:t>
      </w:r>
      <w:r>
        <w:rPr>
          <w:sz w:val="28"/>
          <w:szCs w:val="28"/>
        </w:rPr>
        <w:t>实时监控数据中心的运行状态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及时发现和报告异常情况。</w:t>
      </w:r>
    </w:p>
    <w:p>
      <w:pPr>
        <w:pStyle w:val="12"/>
        <w:widowControl w:val="0"/>
        <w:numPr>
          <w:ilvl w:val="2"/>
          <w:numId w:val="1"/>
        </w:numPr>
        <w:wordWrap/>
        <w:snapToGrid/>
        <w:spacing w:before="0" w:after="0" w:line="590" w:lineRule="exact"/>
        <w:ind w:left="1240" w:leftChars="0" w:right="0" w:hanging="360" w:firstLineChars="0"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>虚拟化平台运维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包括</w:t>
      </w:r>
      <w:r>
        <w:rPr>
          <w:sz w:val="28"/>
          <w:szCs w:val="28"/>
        </w:rPr>
        <w:t>虚拟化平台</w:t>
      </w:r>
      <w:r>
        <w:rPr>
          <w:rFonts w:hint="eastAsia"/>
          <w:sz w:val="28"/>
          <w:szCs w:val="28"/>
          <w:lang w:val="en-US" w:eastAsia="zh-CN"/>
        </w:rPr>
        <w:t>的安装、配置、</w:t>
      </w:r>
      <w:r>
        <w:rPr>
          <w:sz w:val="28"/>
          <w:szCs w:val="28"/>
        </w:rPr>
        <w:t>安全</w:t>
      </w:r>
      <w:r>
        <w:rPr>
          <w:rFonts w:hint="eastAsia"/>
          <w:sz w:val="28"/>
          <w:szCs w:val="28"/>
          <w:lang w:val="en-US" w:eastAsia="zh-CN"/>
        </w:rPr>
        <w:t>配置、</w:t>
      </w:r>
      <w:r>
        <w:rPr>
          <w:sz w:val="28"/>
          <w:szCs w:val="28"/>
        </w:rPr>
        <w:t>资源优化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sz w:val="28"/>
          <w:szCs w:val="28"/>
        </w:rPr>
        <w:t>故障排查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sz w:val="28"/>
          <w:szCs w:val="28"/>
        </w:rPr>
        <w:t>日志分析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sz w:val="28"/>
          <w:szCs w:val="28"/>
        </w:rPr>
        <w:t>灾难恢复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技术培训等；</w:t>
      </w:r>
    </w:p>
    <w:p>
      <w:pPr>
        <w:pStyle w:val="12"/>
        <w:widowControl w:val="0"/>
        <w:numPr>
          <w:ilvl w:val="2"/>
          <w:numId w:val="1"/>
        </w:numPr>
        <w:wordWrap/>
        <w:snapToGrid/>
        <w:spacing w:before="0" w:after="0" w:line="590" w:lineRule="exact"/>
        <w:ind w:left="1240" w:leftChars="0" w:right="0" w:hanging="360" w:firstLineChars="0"/>
        <w:jc w:val="both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硬件</w:t>
      </w:r>
      <w:r>
        <w:rPr>
          <w:rFonts w:hint="eastAsia"/>
          <w:sz w:val="28"/>
          <w:szCs w:val="28"/>
        </w:rPr>
        <w:t>设备</w:t>
      </w:r>
      <w:r>
        <w:rPr>
          <w:sz w:val="28"/>
          <w:szCs w:val="28"/>
        </w:rPr>
        <w:t>运维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包括服务器、存储、光纤存储交换机等硬件设备的安装、配置、高可靠</w:t>
      </w:r>
      <w:r>
        <w:rPr>
          <w:sz w:val="28"/>
          <w:szCs w:val="28"/>
        </w:rPr>
        <w:t>策略</w:t>
      </w:r>
      <w:r>
        <w:rPr>
          <w:rFonts w:hint="eastAsia"/>
          <w:sz w:val="28"/>
          <w:szCs w:val="28"/>
          <w:lang w:val="en-US" w:eastAsia="zh-CN"/>
        </w:rPr>
        <w:t>制定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硬件升级、巡检、技术培训等；</w:t>
      </w:r>
    </w:p>
    <w:p>
      <w:pPr>
        <w:pStyle w:val="12"/>
        <w:widowControl w:val="0"/>
        <w:numPr>
          <w:ilvl w:val="2"/>
          <w:numId w:val="1"/>
        </w:numPr>
        <w:wordWrap/>
        <w:snapToGrid/>
        <w:spacing w:before="0" w:after="0" w:line="590" w:lineRule="exact"/>
        <w:ind w:left="1240" w:leftChars="0" w:right="0" w:hanging="360" w:firstLineChars="0"/>
        <w:jc w:val="both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数据安全运维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包括灾备系统</w:t>
      </w:r>
      <w:r>
        <w:rPr>
          <w:sz w:val="28"/>
          <w:szCs w:val="28"/>
        </w:rPr>
        <w:t>策略制定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sz w:val="28"/>
          <w:szCs w:val="28"/>
        </w:rPr>
        <w:t>实施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sz w:val="28"/>
          <w:szCs w:val="28"/>
        </w:rPr>
        <w:t>演练</w:t>
      </w:r>
      <w:r>
        <w:rPr>
          <w:rFonts w:hint="eastAsia"/>
          <w:sz w:val="28"/>
          <w:szCs w:val="28"/>
          <w:lang w:val="en-US" w:eastAsia="zh-CN"/>
        </w:rPr>
        <w:t>、技术培训等；</w:t>
      </w:r>
    </w:p>
    <w:p>
      <w:pPr>
        <w:pStyle w:val="12"/>
        <w:widowControl w:val="0"/>
        <w:numPr>
          <w:ilvl w:val="2"/>
          <w:numId w:val="1"/>
        </w:numPr>
        <w:wordWrap/>
        <w:snapToGrid/>
        <w:spacing w:before="0" w:after="0" w:line="590" w:lineRule="exact"/>
        <w:ind w:left="1240" w:leftChars="0" w:right="0" w:hanging="360" w:firstLineChars="0"/>
        <w:jc w:val="both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数据库运维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包括</w:t>
      </w:r>
      <w:r>
        <w:rPr>
          <w:sz w:val="28"/>
          <w:szCs w:val="28"/>
        </w:rPr>
        <w:t>设计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安装、</w:t>
      </w:r>
      <w:r>
        <w:rPr>
          <w:sz w:val="28"/>
          <w:szCs w:val="28"/>
        </w:rPr>
        <w:t>实施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sz w:val="28"/>
          <w:szCs w:val="28"/>
        </w:rPr>
        <w:t>监控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sz w:val="28"/>
          <w:szCs w:val="28"/>
        </w:rPr>
        <w:t>安全管理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sz w:val="28"/>
          <w:szCs w:val="28"/>
        </w:rPr>
        <w:t>数据迁移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sz w:val="28"/>
          <w:szCs w:val="28"/>
        </w:rPr>
        <w:t>升级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优化、巡检、技术培训等。</w:t>
      </w:r>
    </w:p>
    <w:p>
      <w:pPr>
        <w:pStyle w:val="12"/>
        <w:widowControl w:val="0"/>
        <w:numPr>
          <w:ilvl w:val="2"/>
          <w:numId w:val="1"/>
        </w:numPr>
        <w:wordWrap/>
        <w:snapToGrid/>
        <w:spacing w:before="0" w:after="0" w:line="590" w:lineRule="exact"/>
        <w:ind w:left="1240" w:leftChars="0" w:right="0" w:hanging="360" w:firstLineChars="0"/>
        <w:jc w:val="both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操作系统运维：包括</w:t>
      </w:r>
      <w:r>
        <w:rPr>
          <w:sz w:val="28"/>
          <w:szCs w:val="28"/>
        </w:rPr>
        <w:t>实施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sz w:val="28"/>
          <w:szCs w:val="28"/>
        </w:rPr>
        <w:t>监控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sz w:val="28"/>
          <w:szCs w:val="28"/>
        </w:rPr>
        <w:t>安全管理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sz w:val="28"/>
          <w:szCs w:val="28"/>
        </w:rPr>
        <w:t>升级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优化、巡检、技术培训等。</w:t>
      </w:r>
    </w:p>
    <w:p>
      <w:pPr>
        <w:pStyle w:val="12"/>
        <w:widowControl w:val="0"/>
        <w:numPr>
          <w:ilvl w:val="2"/>
          <w:numId w:val="1"/>
        </w:numPr>
        <w:wordWrap/>
        <w:snapToGrid/>
        <w:spacing w:before="0" w:after="0" w:line="590" w:lineRule="exact"/>
        <w:ind w:left="1240" w:leftChars="0" w:right="0" w:hanging="360" w:firstLineChars="0"/>
        <w:jc w:val="both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提供国产化硬件以及国产化软件的技术支持</w:t>
      </w:r>
      <w:r>
        <w:rPr>
          <w:sz w:val="28"/>
          <w:szCs w:val="28"/>
        </w:rPr>
        <w:t>和培训。</w:t>
      </w:r>
    </w:p>
    <w:p>
      <w:pPr>
        <w:pStyle w:val="12"/>
        <w:widowControl w:val="0"/>
        <w:numPr>
          <w:ilvl w:val="2"/>
          <w:numId w:val="1"/>
        </w:numPr>
        <w:wordWrap/>
        <w:snapToGrid/>
        <w:spacing w:before="0" w:after="0" w:line="590" w:lineRule="exact"/>
        <w:ind w:left="1240" w:leftChars="0" w:right="0" w:hanging="360" w:firstLineChars="0"/>
        <w:jc w:val="both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协助完成各医院各评级要求</w:t>
      </w:r>
      <w:r>
        <w:rPr>
          <w:sz w:val="28"/>
          <w:szCs w:val="28"/>
        </w:rPr>
        <w:t>。</w:t>
      </w:r>
    </w:p>
    <w:p>
      <w:pPr>
        <w:pStyle w:val="12"/>
        <w:widowControl w:val="0"/>
        <w:numPr>
          <w:ilvl w:val="2"/>
          <w:numId w:val="1"/>
        </w:numPr>
        <w:wordWrap/>
        <w:snapToGrid/>
        <w:spacing w:before="0" w:after="0" w:line="590" w:lineRule="exact"/>
        <w:ind w:left="1240" w:leftChars="0" w:right="0" w:hanging="360" w:firstLineChars="0"/>
        <w:jc w:val="both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提供7*24小时</w:t>
      </w:r>
      <w:r>
        <w:rPr>
          <w:sz w:val="28"/>
          <w:szCs w:val="28"/>
        </w:rPr>
        <w:t>紧急故障</w:t>
      </w:r>
      <w:r>
        <w:rPr>
          <w:rFonts w:hint="eastAsia"/>
          <w:sz w:val="28"/>
          <w:szCs w:val="28"/>
          <w:lang w:val="en-US" w:eastAsia="zh-CN"/>
        </w:rPr>
        <w:t>处理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确保</w:t>
      </w:r>
      <w:r>
        <w:rPr>
          <w:rFonts w:hint="eastAsia"/>
          <w:sz w:val="28"/>
          <w:szCs w:val="28"/>
          <w:lang w:val="en-US" w:eastAsia="zh-CN"/>
        </w:rPr>
        <w:t>信息</w:t>
      </w:r>
      <w:r>
        <w:rPr>
          <w:sz w:val="28"/>
          <w:szCs w:val="28"/>
        </w:rPr>
        <w:t>系统的快速恢复和稳定运行。</w:t>
      </w:r>
    </w:p>
    <w:p>
      <w:pPr>
        <w:pStyle w:val="12"/>
        <w:widowControl w:val="0"/>
        <w:numPr>
          <w:ilvl w:val="2"/>
          <w:numId w:val="1"/>
        </w:numPr>
        <w:wordWrap/>
        <w:snapToGrid/>
        <w:spacing w:before="0" w:after="0" w:line="590" w:lineRule="exact"/>
        <w:ind w:left="1240" w:leftChars="0" w:right="0" w:hanging="360" w:firstLineChars="0"/>
        <w:jc w:val="both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驻场</w:t>
      </w:r>
      <w:r>
        <w:rPr>
          <w:sz w:val="28"/>
          <w:szCs w:val="28"/>
        </w:rPr>
        <w:t>运维</w:t>
      </w:r>
      <w:r>
        <w:rPr>
          <w:rFonts w:hint="eastAsia"/>
          <w:sz w:val="28"/>
          <w:szCs w:val="28"/>
          <w:lang w:val="en-US" w:eastAsia="zh-CN"/>
        </w:rPr>
        <w:t>人员按院方需求进行调换和</w:t>
      </w:r>
      <w:r>
        <w:rPr>
          <w:rFonts w:hint="eastAsia"/>
          <w:sz w:val="28"/>
          <w:szCs w:val="28"/>
        </w:rPr>
        <w:t>管理</w:t>
      </w:r>
      <w:r>
        <w:rPr>
          <w:rFonts w:hint="eastAsia"/>
          <w:sz w:val="28"/>
          <w:szCs w:val="28"/>
          <w:lang w:val="en-US" w:eastAsia="zh-CN"/>
        </w:rPr>
        <w:t>。</w:t>
      </w:r>
    </w:p>
    <w:p>
      <w:pPr>
        <w:widowControl w:val="0"/>
        <w:numPr>
          <w:numId w:val="0"/>
        </w:numPr>
        <w:wordWrap/>
        <w:snapToGrid/>
        <w:spacing w:before="0" w:after="0" w:line="590" w:lineRule="exact"/>
        <w:ind w:right="0"/>
        <w:jc w:val="both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pStyle w:val="10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0" w:leftChars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调研说明</w:t>
      </w:r>
    </w:p>
    <w:p>
      <w:pPr>
        <w:shd w:val="solid" w:color="FFFFFF" w:fill="auto"/>
        <w:autoSpaceDN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报名参加本次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调研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的供应商、厂家需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提供如下相关资料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numPr>
          <w:numId w:val="0"/>
        </w:numPr>
        <w:wordWrap/>
        <w:snapToGrid/>
        <w:spacing w:before="0" w:after="0" w:line="315" w:lineRule="atLeast"/>
        <w:ind w:left="0" w:leftChars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报名请携带加盖公章的项目文件回执单、营业执照复印件、公司简介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提供设备彩页、相关三证等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。</w:t>
      </w:r>
    </w:p>
    <w:p>
      <w:pPr>
        <w:widowControl/>
        <w:shd w:val="clear" w:color="auto" w:fill="FFFFFF"/>
        <w:wordWrap/>
        <w:snapToGrid/>
        <w:spacing w:before="0" w:after="0" w:line="500" w:lineRule="atLeast"/>
        <w:ind w:left="0" w:leftChars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2、参与项目调研供应商代表的个人授权函（需加盖供应商公章）和身份证复印件。</w:t>
      </w:r>
    </w:p>
    <w:p>
      <w:pPr>
        <w:widowControl/>
        <w:shd w:val="clear" w:color="auto" w:fill="FFFFFF"/>
        <w:wordWrap/>
        <w:snapToGrid/>
        <w:spacing w:before="0" w:after="0" w:line="500" w:lineRule="atLeast"/>
        <w:ind w:left="0" w:leftChars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3、分别提供“信用中国”网站（www.creditchina.gov.cn）、“中国政府采购网”网站（http://www.ccgp.gov.cn/search/cr/）信用记录查询截图，无不良记录并加盖公章（截图查询日期必须在该公告日期内）。</w:t>
      </w:r>
    </w:p>
    <w:p>
      <w:pPr>
        <w:pStyle w:val="10"/>
        <w:numPr>
          <w:numId w:val="0"/>
        </w:numPr>
        <w:wordWrap/>
        <w:snapToGrid/>
        <w:spacing w:before="0" w:after="0"/>
        <w:ind w:left="0" w:leftChars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4、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提供业绩清单及近3年省内同类项目中标书</w:t>
      </w:r>
    </w:p>
    <w:p>
      <w:pPr>
        <w:pStyle w:val="10"/>
        <w:numPr>
          <w:numId w:val="0"/>
        </w:numPr>
        <w:wordWrap/>
        <w:snapToGrid/>
        <w:spacing w:before="0" w:after="0"/>
        <w:ind w:left="0" w:leftChars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5、上述各参数将做为本项目招标的主要参数，不代表本项目公开招标的最终参数；</w:t>
      </w:r>
    </w:p>
    <w:p>
      <w:pPr>
        <w:pStyle w:val="10"/>
        <w:numPr>
          <w:numId w:val="0"/>
        </w:numPr>
        <w:wordWrap/>
        <w:snapToGrid/>
        <w:spacing w:before="0" w:after="0"/>
        <w:ind w:left="0" w:leftChars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、参加调研会的公司应准备PPT材料（含方案介绍、服务及集成能力、应用案例、报价等）、技术参数等材料，每公司讲解时间30分钟（含答疑10分钟）；同时上述材料须交予院方留档（发送邮件到wlb@fjzlhospital.com，并提供U盘留档）。</w:t>
      </w:r>
    </w:p>
    <w:p>
      <w:pPr>
        <w:pStyle w:val="10"/>
        <w:numPr>
          <w:numId w:val="0"/>
        </w:numPr>
        <w:wordWrap/>
        <w:snapToGrid/>
        <w:spacing w:before="0" w:after="0"/>
        <w:ind w:left="0" w:leftChars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shd w:val="solid" w:color="FFFFFF" w:fill="auto"/>
        <w:autoSpaceDN w:val="0"/>
        <w:spacing w:line="420" w:lineRule="atLeast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420" w:lineRule="atLeast"/>
        <w:jc w:val="center"/>
        <w:rPr>
          <w:rFonts w:hint="eastAsia" w:ascii="仿宋_GB2312" w:hAnsi="仿宋_GB2312" w:eastAsia="仿宋_GB2312" w:cs="仿宋_GB2312"/>
          <w:b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  <w:t>项目文件回执单</w:t>
      </w:r>
    </w:p>
    <w:p>
      <w:pPr>
        <w:shd w:val="solid" w:color="FFFFFF" w:fill="auto"/>
        <w:autoSpaceDN w:val="0"/>
        <w:spacing w:line="420" w:lineRule="atLeas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请有意向参与的公司在项目公示期内携带回执单至福建省肿瘤医院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网络技术中心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报名。</w:t>
      </w:r>
    </w:p>
    <w:tbl>
      <w:tblPr>
        <w:tblW w:w="8154" w:type="dxa"/>
        <w:tblInd w:w="35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2651"/>
        <w:gridCol w:w="2115"/>
        <w:gridCol w:w="224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exact"/>
        </w:trPr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6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21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22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品牌及型号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shd w:val="solid" w:color="FFFFFF" w:fill="auto"/>
        <w:autoSpaceDN w:val="0"/>
        <w:spacing w:line="420" w:lineRule="atLeas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公司名称：</w:t>
      </w: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 xml:space="preserve">联系人：　 </w:t>
      </w: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联系电话：</w:t>
      </w: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公司盖章：</w:t>
      </w: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pStyle w:val="10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pStyle w:val="1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      福建省肿瘤医院</w:t>
      </w:r>
    </w:p>
    <w:p>
      <w:pPr>
        <w:pStyle w:val="10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         年  月  日</w:t>
      </w:r>
    </w:p>
    <w:sectPr>
      <w:footerReference r:id="rId4" w:type="default"/>
      <w:pgSz w:w="12240" w:h="15840"/>
      <w:pgMar w:top="1134" w:right="1587" w:bottom="1134" w:left="1587" w:header="720" w:footer="720" w:gutter="0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rect id="Quad Arrow 1025" o:spid="_x0000_s1025" style="position:absolute;left:0;margin-top:0pt;height:12.8pt;width:5.35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994383868">
    <w:nsid w:val="3B4517FC"/>
    <w:multiLevelType w:val="multilevel"/>
    <w:tmpl w:val="3B4517FC"/>
    <w:lvl w:ilvl="0" w:tentative="1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1">
      <w:start w:val="1"/>
      <w:numFmt w:val="decimal"/>
      <w:lvlText w:val="%2."/>
      <w:lvlJc w:val="left"/>
      <w:pPr>
        <w:ind w:left="860" w:hanging="440"/>
      </w:pPr>
    </w:lvl>
    <w:lvl w:ilvl="2" w:tentative="1">
      <w:start w:val="1"/>
      <w:numFmt w:val="decimal"/>
      <w:lvlText w:val="%3."/>
      <w:lvlJc w:val="left"/>
      <w:pPr>
        <w:ind w:left="1240" w:hanging="360"/>
      </w:pPr>
      <w:rPr>
        <w:rFonts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398085122">
    <w:nsid w:val="53551602"/>
    <w:multiLevelType w:val="singleLevel"/>
    <w:tmpl w:val="53551602"/>
    <w:lvl w:ilvl="0" w:tentative="1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994383868"/>
  </w:num>
  <w:num w:numId="2">
    <w:abstractNumId w:val="13980851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WYwOWNhMWIwMTM5Y2VhMTQwZDE5YzA3MTI0ODg5N2E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napToGrid w:val="0"/>
      <w:spacing w:line="300" w:lineRule="auto"/>
      <w:ind w:firstLine="200" w:firstLineChars="200"/>
      <w:outlineLvl w:val="1"/>
    </w:pPr>
    <w:rPr>
      <w:rFonts w:ascii="Arial" w:hAnsi="Arial"/>
      <w:b/>
      <w:bCs/>
      <w:szCs w:val="32"/>
    </w:rPr>
  </w:style>
  <w:style w:type="character" w:default="1" w:styleId="8">
    <w:name w:val="Default Paragraph Font"/>
    <w:semiHidden/>
    <w:qFormat/>
    <w:uiPriority w:val="0"/>
  </w:style>
  <w:style w:type="paragraph" w:styleId="4">
    <w:name w:val="Body Text"/>
    <w:basedOn w:val="1"/>
    <w:next w:val="5"/>
    <w:unhideWhenUsed/>
    <w:qFormat/>
    <w:uiPriority w:val="99"/>
    <w:rPr>
      <w:rFonts w:ascii="仿宋_GB2312" w:eastAsia="仿宋_GB2312"/>
      <w:sz w:val="32"/>
    </w:rPr>
  </w:style>
  <w:style w:type="paragraph" w:customStyle="1" w:styleId="5">
    <w:name w:val="Quote"/>
    <w:basedOn w:val="1"/>
    <w:next w:val="1"/>
    <w:qFormat/>
    <w:uiPriority w:val="29"/>
    <w:pPr>
      <w:spacing w:beforeLines="50" w:afterLines="50" w:line="360" w:lineRule="auto"/>
    </w:pPr>
    <w:rPr>
      <w:i/>
      <w:iCs/>
      <w:color w:val="000000"/>
      <w:lang w:val="zh-CN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line="336" w:lineRule="auto"/>
      <w:jc w:val="left"/>
    </w:pPr>
    <w:rPr>
      <w:rFonts w:ascii="宋体" w:hAnsi="宋体"/>
      <w:kern w:val="0"/>
      <w:sz w:val="24"/>
    </w:rPr>
  </w:style>
  <w:style w:type="character" w:styleId="9">
    <w:name w:val="Strong"/>
    <w:qFormat/>
    <w:uiPriority w:val="0"/>
    <w:rPr>
      <w:b/>
    </w:rPr>
  </w:style>
  <w:style w:type="paragraph" w:customStyle="1" w:styleId="10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仿宋_GB2312"/>
      <w:kern w:val="28"/>
      <w:sz w:val="24"/>
      <w:szCs w:val="20"/>
    </w:rPr>
  </w:style>
  <w:style w:type="paragraph" w:customStyle="1" w:styleId="11">
    <w:name w:val="xl3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1849</Words>
  <Characters>2122</Characters>
  <Lines>0</Lines>
  <Paragraphs>0</Paragraphs>
  <ScaleCrop>false</ScaleCrop>
  <LinksUpToDate>false</LinksUpToDate>
  <CharactersWithSpaces>0</CharactersWithSpaces>
  <Application>WPS Office 专业版_8.1.0.0_{F1E327BC-269C-435d-A152-05C5408002CA}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2023-05-30T06:42:00Z</dcterms:created>
  <dc:creator>Admin</dc:creator>
  <cp:lastModifiedBy>Admin</cp:lastModifiedBy>
  <cp:lastPrinted>2023-06-20T07:45:00Z</cp:lastPrinted>
  <dcterms:modified xsi:type="dcterms:W3CDTF">2024-12-19T08:17:25Z</dcterms:modified>
  <dc:title>设备科：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2052-8.1.0.0</vt:lpwstr>
  </property>
  <property fmtid="{D5CDD505-2E9C-101B-9397-08002B2CF9AE}" pid="3" name="ICV">
    <vt:lpwstr>CD1CBFDCF0B34D54A1323A555A4AB815_12</vt:lpwstr>
  </property>
</Properties>
</file>