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adjustRightInd w:val="0"/>
        <w:snapToGrid w:val="0"/>
        <w:spacing w:beforeLines="50" w:line="590" w:lineRule="exact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/>
              <w:spacing w:line="360" w:lineRule="atLeas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32"/>
                <w:szCs w:val="32"/>
              </w:rPr>
              <w:t>主　　　要　　　</w:t>
            </w:r>
            <w:r>
              <w:rPr>
                <w:rFonts w:eastAsia="仿宋" w:cs="Calibri"/>
                <w:b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32"/>
                <w:szCs w:val="32"/>
              </w:rPr>
              <w:t>内　　　</w:t>
            </w:r>
            <w:r>
              <w:rPr>
                <w:rFonts w:eastAsia="仿宋" w:cs="Calibri"/>
                <w:b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32"/>
                <w:szCs w:val="32"/>
              </w:rPr>
              <w:t>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项目名称：  肿瘤专业质量指标管理平台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调研报名时间： 2024 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 xml:space="preserve">日至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日 (节假日除外)8：00-12：00或14：00-17：00(北京时间）</w:t>
            </w:r>
          </w:p>
          <w:p>
            <w:pPr>
              <w:spacing w:before="150" w:line="560" w:lineRule="exact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 xml:space="preserve">调研会时间： 2024 年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日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  <w:t>文件正本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32"/>
                <w:szCs w:val="32"/>
                <w:u w:val="single"/>
              </w:rPr>
              <w:t>壹</w:t>
            </w:r>
            <w: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  <w:t>份,副本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32"/>
                <w:szCs w:val="32"/>
                <w:u w:val="single"/>
              </w:rPr>
              <w:t>壹</w:t>
            </w:r>
            <w: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文件递交处：福建省肿瘤医院网络技术中心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rPr>
          <w:rFonts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rPr>
          <w:rFonts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</w:rPr>
        <w:t xml:space="preserve">地　址： 福建省福州市福马路420号 </w:t>
      </w:r>
    </w:p>
    <w:p>
      <w:pPr>
        <w:widowControl/>
        <w:shd w:val="clear" w:color="auto" w:fill="FFFFFF"/>
        <w:spacing w:line="336" w:lineRule="auto"/>
        <w:ind w:left="1260" w:firstLine="42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</w:rPr>
        <w:t>福建省肿瘤医院科研楼四楼网络技术中心</w:t>
      </w:r>
    </w:p>
    <w:p>
      <w:pPr>
        <w:widowControl/>
        <w:shd w:val="clear" w:color="auto" w:fill="FFFFFF"/>
        <w:spacing w:line="440" w:lineRule="atLeas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</w:rPr>
        <w:t>邮　编： 350014　</w:t>
      </w:r>
      <w:r>
        <w:rPr>
          <w:rFonts w:eastAsia="仿宋" w:cs="Calibri"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40" w:lineRule="atLeas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</w:rPr>
        <w:t>报名联系电话： 0591-83660063-8822</w:t>
      </w:r>
    </w:p>
    <w:p>
      <w:pPr>
        <w:widowControl/>
        <w:shd w:val="clear" w:color="auto" w:fill="FFFFFF"/>
        <w:spacing w:line="440" w:lineRule="atLeast"/>
        <w:rPr>
          <w:rFonts w:ascii="Apple Color Emoji" w:hAnsi="Apple Color Emoji" w:eastAsia="Apple Color Emoji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张工、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shd w:val="clear" w:color="auto" w:fill="FFFFFF"/>
        </w:rPr>
        <w:t>金工</w:t>
      </w:r>
    </w:p>
    <w:p>
      <w:pPr>
        <w:pStyle w:val="2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</w:rPr>
        <w:br w:type="page"/>
      </w:r>
    </w:p>
    <w:p>
      <w:pPr>
        <w:widowControl/>
        <w:shd w:val="clear" w:color="auto" w:fill="FFFFFF"/>
        <w:adjustRightInd w:val="0"/>
        <w:snapToGrid w:val="0"/>
        <w:ind w:firstLine="420"/>
        <w:jc w:val="center"/>
        <w:rPr>
          <w:rFonts w:ascii="仿宋" w:hAnsi="仿宋" w:eastAsia="仿宋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  <w:szCs w:val="32"/>
          <w:shd w:val="clear" w:color="auto" w:fill="FFFFFF"/>
        </w:rPr>
        <w:t>第二部分 具体要求</w:t>
      </w:r>
    </w:p>
    <w:p>
      <w:pPr>
        <w:widowControl/>
        <w:shd w:val="clear" w:color="auto" w:fill="FFFFFF"/>
        <w:spacing w:line="440" w:lineRule="atLeast"/>
        <w:rPr>
          <w:rFonts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</w:rPr>
        <w:t>一、采购内容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18"/>
        <w:gridCol w:w="3757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9" w:hRule="exact"/>
        </w:trPr>
        <w:tc>
          <w:tcPr>
            <w:tcW w:w="2118" w:type="dxa"/>
            <w:vAlign w:val="center"/>
          </w:tcPr>
          <w:p>
            <w:pPr>
              <w:widowControl/>
              <w:spacing w:afterLines="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3757" w:type="dxa"/>
            <w:vAlign w:val="center"/>
          </w:tcPr>
          <w:p>
            <w:pPr>
              <w:widowControl/>
              <w:spacing w:afterLines="50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afterLines="50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spacing w:afterLines="50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5" w:hRule="exact"/>
        </w:trPr>
        <w:tc>
          <w:tcPr>
            <w:tcW w:w="2118" w:type="dxa"/>
            <w:vAlign w:val="center"/>
          </w:tcPr>
          <w:p>
            <w:pPr>
              <w:widowControl/>
              <w:spacing w:afterLines="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3757" w:type="dxa"/>
            <w:vAlign w:val="center"/>
          </w:tcPr>
          <w:p>
            <w:pPr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肿瘤专业质量指标管理平台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 xml:space="preserve"> 1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 200</w:t>
            </w:r>
          </w:p>
        </w:tc>
      </w:tr>
    </w:tbl>
    <w:p>
      <w:pPr>
        <w:keepNext/>
        <w:widowControl/>
        <w:shd w:val="clear" w:color="auto" w:fill="FFFFFF"/>
        <w:autoSpaceDE w:val="0"/>
        <w:spacing w:before="120" w:after="120"/>
        <w:rPr>
          <w:rFonts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</w:rPr>
        <w:t>二、技术功能及服务要求</w:t>
      </w:r>
    </w:p>
    <w:p>
      <w:pPr>
        <w:widowControl/>
        <w:spacing w:beforeLines="50" w:afterLines="50" w:line="360" w:lineRule="auto"/>
        <w:ind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根据国家卫生健康委办公厅发布的《国家三级公立医院绩效考核操作手册（2024版）》，需要针对“指标10单病种质量控制”中的42条肿瘤专业医疗质量指标，进行管理和上报。</w:t>
      </w:r>
      <w:r>
        <w:rPr>
          <w:rFonts w:hint="eastAsia" w:ascii="仿宋" w:hAnsi="仿宋" w:eastAsia="仿宋"/>
          <w:sz w:val="28"/>
          <w:szCs w:val="28"/>
        </w:rPr>
        <w:t>我院计划</w:t>
      </w:r>
      <w:r>
        <w:rPr>
          <w:rFonts w:ascii="仿宋" w:hAnsi="仿宋" w:eastAsia="仿宋"/>
          <w:sz w:val="28"/>
          <w:szCs w:val="28"/>
        </w:rPr>
        <w:t>采购“肿瘤专业质量指标管理平台”，满足新版国家绩效考核标准的要求，并提升整体医疗服务质量，为患者提供安全和高效的治疗方案。</w:t>
      </w:r>
    </w:p>
    <w:p>
      <w:pPr>
        <w:pStyle w:val="2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1、合同包（一）</w:t>
      </w:r>
    </w:p>
    <w:tbl>
      <w:tblPr>
        <w:tblW w:w="8766" w:type="dxa"/>
        <w:tblInd w:w="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0"/>
        <w:gridCol w:w="1969"/>
        <w:gridCol w:w="5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96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594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肿瘤规范化诊疗质控试点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支持医院完成乳腺癌、肝癌、肺癌、卵巢、甲状腺、胃癌、黑色素瘤、宫颈癌、食管癌规范化诊疗质控试点建设。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肿瘤专业质量指标管理端分析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的管理分析，涵盖住院医疗服务、肿瘤诊疗质量、绩效肿瘤诊疗质量管理和肿瘤治疗药物使用分析。有实时质控监测功能，可以对在院患者的诊疗过程进行实时监控，发现和纠正不规范的诊疗行为。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申诉处理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医生和其他医疗工作人员可以通过系统提交质控申诉。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自动化质控报告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能生成全面的质量管理报告，根据收集的数据和分析结果，自动生成各类质控和绩效报告。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数据上报服务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提供数据上报服务，并满足《国家三级公立医院绩效考核操作手册（2024版）》“指标10单病种质量控制”中的42条肿瘤专业医疗质量指标上报政策的要求。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质控申诉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提供质控申诉功能，可对系统质控结果进行问题申诉，支持填写申诉原因。支持查看上级医生的处理结果及申诉历史。质控结果需由上级医生进行申诉审核，必须在审核通过后系统才会进行质控结果的自动调整。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质控结果溯源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可对质控结果进行追溯，并支持对系统进行配置，分配任务和管理用户角色。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肿瘤数据治理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对历史3个月的数据及系统上线以后的数据进行全面的数据治理。主数据管理需确保各类数据的一致性、准确性和完整性。建立统一的主数据管理平台，对患者信息、医疗资源、诊疗过程等各类主数据进行集中管理和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肿瘤质控规则库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涵盖十个主要癌种的质控规则，提供质控指标管理工具。规则库支持可视化的53条肿瘤质控监测指标规则图谱，包含与质控相关的患者标签逻辑和质控规则逻辑。实现跟踪和管理每个癌种的质控情况，确保质控指标的有效管理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技术架构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项目优先考虑应用技术架构要支持B/S架构部署，采用微服务松耦合的技术架构。基于先进的医疗专业开发平台开发定义业务应用，业务系统支持模块化设计与开发；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提供详细的业务架构、技术架构、数据架构方案。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数据集成能力：实时集成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界面集成，支持C/S版本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B/S版本，支持自动化升级；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支持界面自定义显示方式、界面自定义显示内容等；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实时数据集成、支持MQ、kafka等；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支持场景包括医嘱、手术、病历、诊断等。用户可自定义配置场景内容。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数据集成能力：离线集成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支持自定义离线采集的频率与范围，提供界面可视化；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提供详细的接口文档；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支持数据库数据、表格数据、web服务等多种接口方式。提供可视化界面；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可以按照门诊、出院、在院分类采集。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数据集成能力：历史数据集成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对3个月的以患者为维度的全量数据集成，包括就诊信息、诊断信息、医嘱信息、护理信息、收费信息、医保结算信息等。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提供详细的清单；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可视化历史数据集成的情况，包括不限于任务信息、日志信息（成功/失败）。提供界面可视化。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数据质控能力：元数据管理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可查看整个数据流的库/表说明；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可查看数据流表级别的血缘关系。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数据质控能力：主数据管理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完整的字典表、及基于真实数据的字典映射；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用户可自定义字典映射值；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医院的科室字典等主数据维护。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数据质控能力：预处理能力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支持字典映射，实现数据的初始化归一；支持日期格式的提取；支持大文本的章节拆解；支持数值的提取；支持数据加密；支持空格处理；支持自定义配置字段的处理方式；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以上内容均支持现场自定义，界面可视化；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提供详细的预处理清单方案。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数据质控能力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支持完整性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唯一性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关联性检查，支持某个条件下必须为空、支持某个条件下必须不为空；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支持日期格式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数值格式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质控标准配置、权重配置等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数据治理能力：标准化能力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支持归一化模型管理；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支持可自定义配置输出字段；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支持NLP实体识别结果的归一化。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数据治理能力：结构化能力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支持结构化模型管理；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支持可自定义配置输出的实体、关系、二维表；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现病史、既往史、辅助检查、病理报告、影像报告、出院小结等基于国家癌症中心国家肿瘤质控中心17个癌种规范化诊疗质量控制指标（2022版）、国家卫健委《肿瘤专业医疗质量控制指标（2023版）》、国家卫健委《国家三级公立医院绩效考核操作手册（2024版）》肿瘤指标相关需求的文本结构化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支持诊断名称的TNM分期结构化；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支持文本提取手术名称、药物名称、诊断名称、临床分期、TNM分期、病理诊断、药物类别、药物治疗方案、检查项目名称、放疗、不良反应等信息。</w:t>
            </w:r>
          </w:p>
        </w:tc>
      </w:tr>
    </w:tbl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其他要求</w:t>
      </w:r>
    </w:p>
    <w:p>
      <w:pPr>
        <w:pStyle w:val="16"/>
        <w:numPr>
          <w:numId w:val="0"/>
        </w:numPr>
        <w:spacing w:before="0" w:beforeAutospacing="0" w:after="0" w:afterAutospacing="0" w:line="48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1、应结合我院实际医疗及管理需要，对系统进行客户化修改，包括但不限于结合医院实际管理需求；同时不得使用主管部门禁止使用的操作系统及数据库。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国家《医院信息系统功能规范》第十二条以及国家信息化建设审计要求，至少必须提供数据字典、数据结构与流程、操作使用手册、系统维护手册。必须提供完整的总体设计报告、需求分析说明书、概要设计说明书、详细设计说明书、数据字典、数据结构与流程、测试报告、操作使用手册、系统维护手册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“数据基础信息”、“修改前数据”、“修改后数据”、“修改人”、“修改时间”五个部分核心数据项组成；具备应用系统可以手动设置本地日志的保存目录，并自动必须定期清除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本项目为交钥匙工程，本项目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与各业务系统及设备的数据接口由中标人自行负责。本项目涉及院内现有各业务系统接口的，采购人不再向中标人支付接口费用。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应提供与医院HIS，电子病历、危急值平台、报告平台、麻醉耗材、患者360（含HIS360、CDR360）等系统无缝集成接口，符合电子病历6级、医院的互联互通5级、智慧医院4级的建设要求，上述各评级不涉及本系统的功能可以按本次招标内容为准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与集成平台通过统一的数据接口，实现浏览各检查报告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政策性国家、省市各平台的数据接口、数据上传等服务及免费实施国密改造、信创国产化，包括但不限于：福建省卫健委居民健康综合服务平台、福建省检查检验结果互联互通互认平台、福建省卫健委多码融合项目等，产生相应指标，推送至医疗平台接口中（涉及其他系统，应与其他系统配合实施）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所有的工作流程节点（诸如：工作环节名称、患者ID、操作人、操作时间等）必须发送至全院工作流程管理平台进行接收、存储；本项目所涉及的影像文件（照片、图像等），则必须与全院统一影像数据中台实现交互，全部由全院统一影像数据中台进行管理（接收、存储、调阅等），原则上本项目服务器及应用系统不保存所涉及的影像文件（照片、图像等）；各具体接口技术方案待实施时由采购人提供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本项目系统需符合《信息安全技术网络安全等级保护基本要求》GB/T22239-2019（三级）要求（下文简称：三级等保2.0），并在三级等保2.0评审中协助完成本系统评审工作。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与医院现有CA数字签名功能实现对接，满足医院各法规需要。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若需接入医院APP(实现院外移动端查询)，则中标人应提供H5接口，并支付相应接口费用（不超过3万元），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是否需接入医院APP以项目验收时采购人需求为准。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在本项目系统软件使用及维保有效期内，本项目软件在每个使用科室使用的终端数量不受限制，数据不得加密，不得使用加密狗、打印加密、功能加密等任何软件使用约束。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本项目软件部分按总价进行报价，不能以安装工作站数量进行报价。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本项目系统需完成旧系统中的历史数据导入，旧系统中非自动产生的数据（如手工输入值等），在新系统中可不体现或以默认值体现。若有涉及接口费用，由中标方负责，采购人不再向中标人支付接口费用。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本项目软件版面色彩、风格等应按医院要求设计制作；软件标题只能出现医院logo及系统名称，不能出现公司名称，公司名称允许在帮助（help）的关于（about）中出现。具体版面另行通知。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6"/>
        <w:numPr>
          <w:ilvl w:val="0"/>
          <w:numId w:val="2"/>
        </w:numPr>
        <w:spacing w:before="0" w:beforeAutospacing="0" w:after="0" w:afterAutospacing="0" w:line="480" w:lineRule="atLeas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由于本项目与诊疗无关，必须支持国产化操作系统、数据库及前端国产化工作站，暂时未能实现的，后续政策要求时不再另行收费，并在投标文件中出具承诺函。</w:t>
      </w:r>
    </w:p>
    <w:p>
      <w:pPr>
        <w:pStyle w:val="2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2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2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2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2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2"/>
        <w:numPr>
          <w:numId w:val="0"/>
        </w:numPr>
        <w:wordWrap/>
        <w:snapToGrid/>
        <w:spacing w:before="0" w:after="0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2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p>
      <w:pPr>
        <w:widowControl/>
        <w:spacing w:line="315" w:lineRule="atLeast"/>
        <w:ind w:firstLine="640" w:firstLineChars="200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</w:p>
    <w:bookmarkEnd w:id="0"/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pple Color Emoji">
    <w:altName w:val="Calibri"/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5063653">
    <w:nsid w:val="63D77165"/>
    <w:multiLevelType w:val="singleLevel"/>
    <w:tmpl w:val="63D77165"/>
    <w:lvl w:ilvl="0" w:tentative="1">
      <w:start w:val="2"/>
      <w:numFmt w:val="decimal"/>
      <w:suff w:val="nothing"/>
      <w:lvlText w:val="%1、"/>
      <w:lvlJc w:val="left"/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398085122"/>
  </w:num>
  <w:num w:numId="2">
    <w:abstractNumId w:val="1675063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qFormat="1"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22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paragraph" w:styleId="5">
    <w:name w:val="heading 5"/>
    <w:basedOn w:val="1"/>
    <w:next w:val="1"/>
    <w:link w:val="23"/>
    <w:semiHidden/>
    <w:unhideWhenUsed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7"/>
    <w:basedOn w:val="1"/>
    <w:link w:val="2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11">
    <w:name w:val="Default Paragraph Font"/>
    <w:semiHidden/>
    <w:unhideWhenUsed/>
    <w:uiPriority w:val="1"/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</w:pPr>
    <w:rPr>
      <w:rFonts w:eastAsia="仿宋_GB2312"/>
      <w:kern w:val="28"/>
      <w:sz w:val="24"/>
      <w:szCs w:val="20"/>
    </w:rPr>
  </w:style>
  <w:style w:type="paragraph" w:styleId="7">
    <w:name w:val="Body Text"/>
    <w:basedOn w:val="1"/>
    <w:link w:val="17"/>
    <w:unhideWhenUsed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引用1"/>
    <w:basedOn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customStyle="1" w:styleId="14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正文文本 Char"/>
    <w:link w:val="7"/>
    <w:qFormat/>
    <w:uiPriority w:val="0"/>
    <w:rPr>
      <w:rFonts w:ascii="仿宋_GB2312" w:hAnsi="Calibri" w:eastAsia="仿宋_GB2312" w:cs="黑体"/>
      <w:kern w:val="2"/>
      <w:sz w:val="32"/>
      <w:szCs w:val="24"/>
    </w:rPr>
  </w:style>
  <w:style w:type="character" w:customStyle="1" w:styleId="18">
    <w:name w:val="font71"/>
    <w:qFormat/>
    <w:uiPriority w:val="0"/>
    <w:rPr>
      <w:rFonts w:ascii="Helvetica" w:hAnsi="Helvetica" w:eastAsia="Helvetica" w:cs="Helvetica"/>
      <w:color w:val="000000"/>
      <w:sz w:val="16"/>
      <w:szCs w:val="16"/>
      <w:u w:val="none"/>
    </w:rPr>
  </w:style>
  <w:style w:type="character" w:customStyle="1" w:styleId="19">
    <w:name w:val="font81"/>
    <w:uiPriority w:val="0"/>
    <w:rPr>
      <w:rFonts w:hint="default" w:ascii="Helvetica" w:hAnsi="Helvetica" w:eastAsia="Helvetica" w:cs="Helvetica"/>
      <w:color w:val="DE3C36"/>
      <w:sz w:val="16"/>
      <w:szCs w:val="16"/>
      <w:u w:val="none"/>
    </w:rPr>
  </w:style>
  <w:style w:type="character" w:customStyle="1" w:styleId="20">
    <w:name w:val="font4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21">
    <w:name w:val="标题 7 Char"/>
    <w:basedOn w:val="11"/>
    <w:link w:val="6"/>
    <w:qFormat/>
    <w:uiPriority w:val="0"/>
    <w:rPr>
      <w:rFonts w:ascii="Calibri" w:hAnsi="Calibri" w:cs="黑体"/>
      <w:b/>
      <w:bCs/>
      <w:kern w:val="2"/>
      <w:sz w:val="24"/>
      <w:szCs w:val="24"/>
    </w:rPr>
  </w:style>
  <w:style w:type="character" w:customStyle="1" w:styleId="22">
    <w:name w:val="标题 1 Char"/>
    <w:link w:val="3"/>
    <w:qFormat/>
    <w:uiPriority w:val="0"/>
    <w:rPr>
      <w:rFonts w:ascii="Calibri" w:hAnsi="Calibri" w:cs="黑体"/>
      <w:b/>
      <w:kern w:val="44"/>
      <w:sz w:val="44"/>
      <w:szCs w:val="24"/>
    </w:rPr>
  </w:style>
  <w:style w:type="character" w:customStyle="1" w:styleId="23">
    <w:name w:val="标题 5 Char"/>
    <w:basedOn w:val="11"/>
    <w:link w:val="5"/>
    <w:semiHidden/>
    <w:uiPriority w:val="0"/>
    <w:rPr>
      <w:rFonts w:ascii="Calibri" w:hAnsi="Calibri" w:cs="黑体"/>
      <w:b/>
      <w:bCs/>
      <w:kern w:val="2"/>
      <w:sz w:val="28"/>
      <w:szCs w:val="28"/>
    </w:rPr>
  </w:style>
  <w:style w:type="character" w:customStyle="1" w:styleId="24">
    <w:name w:val="页眉 Char"/>
    <w:basedOn w:val="11"/>
    <w:link w:val="9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765</Words>
  <Characters>4366</Characters>
  <Lines>36</Lines>
  <Paragraphs>10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2024-11-13T01:17:00Z</dcterms:created>
  <dc:creator>Admin</dc:creator>
  <cp:lastModifiedBy>Admin</cp:lastModifiedBy>
  <cp:lastPrinted>2024-11-21T08:38:00Z</cp:lastPrinted>
  <dcterms:modified xsi:type="dcterms:W3CDTF">2024-12-10T09:16:27Z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CD1CBFDCF0B34D54A1323A555A4AB815_12</vt:lpwstr>
  </property>
</Properties>
</file>