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hint="eastAsia" w:ascii="仿宋_GB2312" w:hAnsi="仿宋_GB2312" w:eastAsia="方正小标宋简体" w:cs="仿宋_GB2312"/>
          <w:b w:val="0"/>
          <w:kern w:val="2"/>
          <w:sz w:val="32"/>
          <w:szCs w:val="32"/>
        </w:rPr>
      </w:pPr>
      <w:bookmarkStart w:id="0" w:name="_GoBack"/>
      <w:r>
        <w:rPr>
          <w:rFonts w:hint="eastAsia" w:ascii="方正小标宋简体" w:hAnsi="方正小标宋简体" w:eastAsia="方正小标宋简体" w:cs="方正小标宋简体"/>
          <w:b w:val="0"/>
          <w:kern w:val="2"/>
          <w:szCs w:val="44"/>
        </w:rPr>
        <w:t>福建省肿瘤医院采购调研公告</w:t>
      </w:r>
    </w:p>
    <w:p>
      <w:pPr>
        <w:widowControl/>
        <w:shd w:val="clear" w:color="auto" w:fill="FFFFFF"/>
        <w:adjustRightInd w:val="0"/>
        <w:snapToGrid w:val="0"/>
        <w:spacing w:beforeLines="50" w:line="59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9"/>
              <w:widowControl/>
              <w:spacing w:line="36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项目名称：病理质控监控系统项目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150" w:line="560" w:lineRule="exac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调研报名时间： 2024 年</w:t>
            </w:r>
            <w:r>
              <w:rPr>
                <w:rFonts w:hint="eastAsia" w:ascii="仿宋_GB2312" w:hAnsi="仿宋_GB2312" w:eastAsia="仿宋_GB2312" w:cs="仿宋_GB2312"/>
                <w:color w:val="auto"/>
                <w:kern w:val="0"/>
                <w:sz w:val="32"/>
                <w:szCs w:val="32"/>
                <w:highlight w:val="none"/>
                <w:u w:val="single"/>
                <w:lang w:val="en-US" w:eastAsia="zh-CN"/>
              </w:rPr>
              <w:t>12</w:t>
            </w:r>
            <w:r>
              <w:rPr>
                <w:rFonts w:hint="eastAsia" w:ascii="仿宋_GB2312" w:hAnsi="仿宋_GB2312" w:eastAsia="仿宋_GB2312" w:cs="仿宋_GB2312"/>
                <w:color w:val="auto"/>
                <w:kern w:val="0"/>
                <w:sz w:val="32"/>
                <w:szCs w:val="32"/>
                <w:highlight w:val="none"/>
              </w:rPr>
              <w:t xml:space="preserve">月 </w:t>
            </w:r>
            <w:r>
              <w:rPr>
                <w:rFonts w:hint="eastAsia" w:ascii="仿宋_GB2312" w:hAnsi="仿宋_GB2312" w:eastAsia="仿宋_GB2312" w:cs="仿宋_GB2312"/>
                <w:color w:val="auto"/>
                <w:kern w:val="0"/>
                <w:sz w:val="32"/>
                <w:szCs w:val="32"/>
                <w:highlight w:val="none"/>
                <w:u w:val="single"/>
                <w:lang w:val="en-US" w:eastAsia="zh-CN"/>
              </w:rPr>
              <w:t>2</w:t>
            </w:r>
            <w:r>
              <w:rPr>
                <w:rFonts w:hint="eastAsia" w:ascii="仿宋_GB2312" w:hAnsi="仿宋_GB2312" w:eastAsia="仿宋_GB2312" w:cs="仿宋_GB2312"/>
                <w:color w:val="auto"/>
                <w:kern w:val="0"/>
                <w:sz w:val="32"/>
                <w:szCs w:val="32"/>
                <w:highlight w:val="none"/>
              </w:rPr>
              <w:t xml:space="preserve">日至 </w:t>
            </w:r>
            <w:r>
              <w:rPr>
                <w:rFonts w:hint="eastAsia" w:ascii="仿宋_GB2312" w:hAnsi="仿宋_GB2312" w:eastAsia="仿宋_GB2312" w:cs="仿宋_GB2312"/>
                <w:color w:val="auto"/>
                <w:kern w:val="0"/>
                <w:sz w:val="32"/>
                <w:szCs w:val="32"/>
                <w:highlight w:val="none"/>
                <w:u w:val="single"/>
                <w:lang w:val="en-US" w:eastAsia="zh-CN"/>
              </w:rPr>
              <w:t>12</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u w:val="single"/>
                <w:lang w:val="en-US" w:eastAsia="zh-CN"/>
              </w:rPr>
              <w:t>9</w:t>
            </w:r>
            <w:r>
              <w:rPr>
                <w:rFonts w:hint="eastAsia" w:ascii="仿宋_GB2312" w:hAnsi="仿宋_GB2312" w:eastAsia="仿宋_GB2312" w:cs="仿宋_GB2312"/>
                <w:color w:val="auto"/>
                <w:kern w:val="0"/>
                <w:sz w:val="32"/>
                <w:szCs w:val="32"/>
                <w:highlight w:val="none"/>
              </w:rPr>
              <w:t xml:space="preserve">日 </w:t>
            </w:r>
            <w:r>
              <w:rPr>
                <w:rFonts w:hint="eastAsia" w:ascii="仿宋_GB2312" w:hAnsi="仿宋_GB2312" w:eastAsia="仿宋_GB2312" w:cs="仿宋_GB2312"/>
                <w:color w:val="auto"/>
                <w:spacing w:val="-8"/>
                <w:kern w:val="0"/>
                <w:sz w:val="32"/>
                <w:szCs w:val="32"/>
                <w:highlight w:val="none"/>
                <w:shd w:val="clear" w:color="auto" w:fill="FFFFFF"/>
              </w:rPr>
              <w:t>(节假日除外)8：00-12：00或14：00-17：00(北京时间）</w:t>
            </w:r>
          </w:p>
          <w:p>
            <w:pPr>
              <w:widowControl/>
              <w:spacing w:line="315" w:lineRule="atLeast"/>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auto"/>
                <w:kern w:val="0"/>
                <w:sz w:val="32"/>
                <w:szCs w:val="32"/>
                <w:highlight w:val="none"/>
              </w:rPr>
              <w:t>调研会时间： 2024 年</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u w:val="single"/>
                <w:lang w:val="en-US" w:eastAsia="zh-CN"/>
              </w:rPr>
              <w:t>12</w:t>
            </w:r>
            <w:r>
              <w:rPr>
                <w:rFonts w:hint="eastAsia" w:ascii="仿宋_GB2312" w:hAnsi="仿宋_GB2312" w:eastAsia="仿宋_GB2312" w:cs="仿宋_GB2312"/>
                <w:color w:val="auto"/>
                <w:kern w:val="0"/>
                <w:sz w:val="32"/>
                <w:szCs w:val="32"/>
                <w:highlight w:val="none"/>
              </w:rPr>
              <w:t xml:space="preserve">月 </w:t>
            </w:r>
            <w:r>
              <w:rPr>
                <w:rFonts w:hint="eastAsia" w:ascii="仿宋_GB2312" w:hAnsi="仿宋_GB2312" w:eastAsia="仿宋_GB2312" w:cs="仿宋_GB2312"/>
                <w:color w:val="auto"/>
                <w:kern w:val="0"/>
                <w:sz w:val="32"/>
                <w:szCs w:val="32"/>
                <w:highlight w:val="none"/>
                <w:u w:val="single"/>
                <w:lang w:val="en-US" w:eastAsia="zh-CN"/>
              </w:rPr>
              <w:t>11</w:t>
            </w:r>
            <w:r>
              <w:rPr>
                <w:rFonts w:hint="eastAsia" w:ascii="仿宋_GB2312" w:hAnsi="仿宋_GB2312" w:eastAsia="仿宋_GB2312" w:cs="仿宋_GB2312"/>
                <w:color w:val="auto"/>
                <w:kern w:val="0"/>
                <w:sz w:val="32"/>
                <w:szCs w:val="32"/>
                <w:highlight w:val="none"/>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36" w:lineRule="auto"/>
        <w:rPr>
          <w:rFonts w:hint="eastAsia" w:ascii="仿宋_GB2312" w:hAnsi="仿宋_GB2312" w:eastAsia="仿宋_GB2312" w:cs="仿宋_GB2312"/>
          <w:bCs/>
          <w:color w:val="000000"/>
          <w:kern w:val="0"/>
          <w:sz w:val="32"/>
          <w:szCs w:val="32"/>
          <w:shd w:val="clear" w:color="auto" w:fill="FFFFFF"/>
        </w:rPr>
      </w:pPr>
    </w:p>
    <w:p>
      <w:pPr>
        <w:widowControl/>
        <w:shd w:val="clear" w:color="auto" w:fill="FFFFFF"/>
        <w:spacing w:line="336"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line="336" w:lineRule="auto"/>
        <w:ind w:left="1260"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line="440" w:lineRule="atLeast"/>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line="440" w:lineRule="atLeast"/>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line="440" w:lineRule="atLeast"/>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钱工</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金工</w:t>
      </w:r>
    </w:p>
    <w:p>
      <w:pPr>
        <w:pStyle w:val="13"/>
        <w:rPr>
          <w:rFonts w:hint="eastAsia"/>
        </w:rPr>
      </w:pPr>
      <w:r>
        <w:rPr>
          <w:rFonts w:hint="eastAsia"/>
        </w:rPr>
        <w:br w:type="page"/>
      </w:r>
    </w:p>
    <w:p>
      <w:pPr>
        <w:widowControl/>
        <w:shd w:val="clear" w:color="auto" w:fill="FFFFFF"/>
        <w:adjustRightInd w:val="0"/>
        <w:snapToGrid w:val="0"/>
        <w:ind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line="440" w:lineRule="atLeast"/>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pPr w:leftFromText="180" w:rightFromText="180" w:vertAnchor="text" w:horzAnchor="page" w:tblpX="2110" w:tblpY="-1747"/>
        <w:tblOverlap w:val="never"/>
        <w:tblW w:w="88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1"/>
        <w:gridCol w:w="3544"/>
        <w:gridCol w:w="1985"/>
        <w:gridCol w:w="20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0" w:hRule="atLeast"/>
        </w:trPr>
        <w:tc>
          <w:tcPr>
            <w:tcW w:w="1251" w:type="dxa"/>
            <w:vAlign w:val="center"/>
          </w:tcPr>
          <w:p>
            <w:pPr>
              <w:widowControl/>
              <w:spacing w:afterLines="5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544" w:type="dxa"/>
            <w:vAlign w:val="center"/>
          </w:tcPr>
          <w:p>
            <w:pPr>
              <w:widowControl/>
              <w:spacing w:afterLines="5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985" w:type="dxa"/>
            <w:vAlign w:val="center"/>
          </w:tcPr>
          <w:p>
            <w:pPr>
              <w:widowControl/>
              <w:spacing w:afterLines="5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2021" w:type="dxa"/>
            <w:vAlign w:val="center"/>
          </w:tcPr>
          <w:p>
            <w:pPr>
              <w:widowControl/>
              <w:spacing w:afterLines="5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0" w:hRule="atLeast"/>
        </w:trPr>
        <w:tc>
          <w:tcPr>
            <w:tcW w:w="1251" w:type="dxa"/>
            <w:vAlign w:val="center"/>
          </w:tcPr>
          <w:p>
            <w:pPr>
              <w:widowControl/>
              <w:spacing w:afterLines="5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3544" w:type="dxa"/>
            <w:vAlign w:val="center"/>
          </w:tcPr>
          <w:p>
            <w:pPr>
              <w:jc w:val="center"/>
              <w:rPr>
                <w:rFonts w:hint="eastAsia" w:ascii="仿宋_GB2312" w:hAnsi="仿宋_GB2312" w:eastAsia="仿宋_GB2312" w:cs="仿宋_GB2312"/>
                <w:kern w:val="0"/>
                <w:sz w:val="28"/>
                <w:szCs w:val="28"/>
              </w:rPr>
            </w:pPr>
            <w:r>
              <w:rPr>
                <w:rFonts w:hint="eastAsia" w:ascii="仿宋" w:hAnsi="仿宋" w:eastAsia="仿宋" w:cs="仿宋"/>
                <w:bCs/>
                <w:sz w:val="28"/>
                <w:szCs w:val="28"/>
              </w:rPr>
              <w:t>病理质控监控系统项目</w:t>
            </w:r>
          </w:p>
        </w:tc>
        <w:tc>
          <w:tcPr>
            <w:tcW w:w="1985" w:type="dxa"/>
            <w:vAlign w:val="center"/>
          </w:tcPr>
          <w:p>
            <w:pPr>
              <w:autoSpaceDN w:val="0"/>
              <w:jc w:val="center"/>
              <w:textAlignment w:val="center"/>
              <w:rPr>
                <w:rFonts w:hint="eastAsia" w:ascii="仿宋_GB2312" w:hAnsi="仿宋_GB2312" w:eastAsia="仿宋_GB2312" w:cs="仿宋_GB2312"/>
                <w:kern w:val="0"/>
                <w:sz w:val="28"/>
                <w:szCs w:val="28"/>
              </w:rPr>
            </w:pPr>
            <w:r>
              <w:rPr>
                <w:rFonts w:hint="eastAsia" w:ascii="仿宋" w:hAnsi="仿宋" w:eastAsia="仿宋" w:cs="仿宋"/>
                <w:color w:val="000000"/>
                <w:sz w:val="28"/>
                <w:szCs w:val="28"/>
              </w:rPr>
              <w:t>1项</w:t>
            </w:r>
          </w:p>
        </w:tc>
        <w:tc>
          <w:tcPr>
            <w:tcW w:w="2021" w:type="dxa"/>
            <w:vAlign w:val="center"/>
          </w:tcPr>
          <w:p>
            <w:pPr>
              <w:autoSpaceDN w:val="0"/>
              <w:jc w:val="center"/>
              <w:textAlignment w:val="center"/>
              <w:rPr>
                <w:rFonts w:hint="eastAsia" w:ascii="仿宋_GB2312" w:hAnsi="仿宋_GB2312" w:eastAsia="仿宋_GB2312" w:cs="仿宋_GB2312"/>
                <w:kern w:val="0"/>
                <w:sz w:val="28"/>
                <w:szCs w:val="28"/>
              </w:rPr>
            </w:pPr>
            <w:r>
              <w:rPr>
                <w:rFonts w:hint="eastAsia" w:ascii="仿宋" w:hAnsi="仿宋" w:eastAsia="仿宋" w:cs="仿宋"/>
                <w:color w:val="000000"/>
                <w:sz w:val="28"/>
                <w:szCs w:val="28"/>
              </w:rPr>
              <w:t>45</w:t>
            </w:r>
          </w:p>
        </w:tc>
      </w:tr>
    </w:tbl>
    <w:p>
      <w:pPr>
        <w:keepNext/>
        <w:widowControl/>
        <w:shd w:val="clear" w:color="auto" w:fill="FFFFFF"/>
        <w:autoSpaceDE w:val="0"/>
        <w:spacing w:before="120" w:after="120"/>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13"/>
        <w:numPr>
          <w:ilvl w:val="0"/>
          <w:numId w:val="0"/>
        </w:numPr>
        <w:rPr>
          <w:rFonts w:hint="eastAsia"/>
        </w:rPr>
      </w:pPr>
      <w:r>
        <w:rPr>
          <w:rFonts w:hint="eastAsia"/>
        </w:rPr>
        <w:t>1、合同包（一）</w:t>
      </w:r>
    </w:p>
    <w:p>
      <w:pPr>
        <w:pStyle w:val="13"/>
        <w:widowControl w:val="0"/>
        <w:numPr>
          <w:ilvl w:val="0"/>
          <w:numId w:val="0"/>
        </w:numPr>
        <w:wordWrap/>
        <w:overflowPunct w:val="0"/>
        <w:autoSpaceDE w:val="0"/>
        <w:autoSpaceDN w:val="0"/>
        <w:adjustRightInd w:val="0"/>
        <w:snapToGrid/>
        <w:spacing w:before="0" w:after="0" w:line="240" w:lineRule="auto"/>
        <w:ind w:left="0" w:leftChars="0" w:right="0" w:firstLine="640" w:firstLineChars="200"/>
        <w:jc w:val="both"/>
        <w:textAlignment w:val="baseline"/>
        <w:outlineLvl w:val="9"/>
        <w:rPr>
          <w:rFonts w:hint="eastAsia"/>
        </w:rPr>
      </w:pPr>
      <w:r>
        <w:rPr>
          <w:rFonts w:hint="eastAsia" w:ascii="仿宋_GB2312" w:eastAsia="仿宋_GB2312"/>
          <w:sz w:val="32"/>
          <w:szCs w:val="32"/>
          <w:lang w:val="en-US" w:eastAsia="zh-CN"/>
        </w:rPr>
        <w:t>医院病理科的工作操作流程繁杂，病理科质控贯穿病理诊断的全流程，精细化、全流程的质控管理是科室实现精准诊断、提高治疗决策水平的重要参考指标。而目前我院病理科在质控方面存在病理核心流程及质控管理缺乏信息化、易出错等问题，无法满足临床要求及各类评审要求</w:t>
      </w:r>
      <w:r>
        <w:rPr>
          <w:rFonts w:hint="eastAsia"/>
          <w:sz w:val="32"/>
          <w:szCs w:val="32"/>
          <w:lang w:val="en-US" w:eastAsia="zh-CN"/>
        </w:rPr>
        <w:t>，故申请该系统。</w:t>
      </w:r>
    </w:p>
    <w:tbl>
      <w:tblPr>
        <w:tblW w:w="8679" w:type="dxa"/>
        <w:jc w:val="center"/>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623"/>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623" w:type="dxa"/>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6261" w:type="dxa"/>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restar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病理质控</w:t>
            </w:r>
            <w:r>
              <w:rPr>
                <w:rFonts w:hint="eastAsia" w:ascii="仿宋_GB2312" w:hAnsi="仿宋_GB2312" w:eastAsia="仿宋_GB2312" w:cs="仿宋_GB2312"/>
                <w:sz w:val="28"/>
                <w:szCs w:val="28"/>
                <w:lang w:val="en-US" w:eastAsia="zh-CN"/>
              </w:rPr>
              <w:t>管理</w:t>
            </w:r>
            <w:r>
              <w:rPr>
                <w:rFonts w:hint="eastAsia" w:ascii="仿宋_GB2312" w:hAnsi="仿宋_GB2312" w:eastAsia="仿宋_GB2312" w:cs="仿宋_GB2312"/>
                <w:sz w:val="28"/>
                <w:szCs w:val="28"/>
              </w:rPr>
              <w:t>系统</w:t>
            </w:r>
          </w:p>
        </w:tc>
        <w:tc>
          <w:tcPr>
            <w:tcW w:w="6261" w:type="dxa"/>
            <w:vAlign w:val="top"/>
          </w:tcPr>
          <w:p>
            <w:pPr>
              <w:widowControl w:val="0"/>
              <w:wordWrap/>
              <w:adjustRightInd/>
              <w:snapToGrid/>
              <w:spacing w:before="0" w:after="0" w:line="40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支持2024版病理专业医疗质量控制指标数据统计管理。支持不同质控指标分类管理</w:t>
            </w:r>
            <w:r>
              <w:rPr>
                <w:rFonts w:hint="eastAsia" w:ascii="仿宋_GB2312" w:hAnsi="仿宋_GB2312" w:eastAsia="仿宋_GB2312" w:cs="仿宋_GB2312"/>
                <w:sz w:val="28"/>
                <w:szCs w:val="28"/>
                <w:lang w:eastAsia="zh-CN"/>
              </w:rPr>
              <w:t>，支持</w:t>
            </w:r>
            <w:r>
              <w:rPr>
                <w:rFonts w:hint="eastAsia" w:ascii="仿宋_GB2312" w:hAnsi="仿宋_GB2312" w:eastAsia="仿宋_GB2312" w:cs="仿宋_GB2312"/>
                <w:sz w:val="28"/>
                <w:szCs w:val="28"/>
              </w:rPr>
              <w:t>快速查找对应的质控统计功能，数据统计时支持数据与分析图表同框展示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top"/>
          </w:tcPr>
          <w:p>
            <w:pPr>
              <w:widowControl w:val="0"/>
              <w:wordWrap/>
              <w:adjustRightInd/>
              <w:snapToGrid/>
              <w:spacing w:before="0" w:after="0" w:line="40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支持送检评价管理，记录送检不合格原因，并提供不合格情况统计，支持自定义字段显示管理、自定义关注信息醒目提醒；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top"/>
          </w:tcPr>
          <w:p>
            <w:pPr>
              <w:widowControl w:val="0"/>
              <w:wordWrap/>
              <w:adjustRightInd/>
              <w:snapToGrid/>
              <w:spacing w:before="0" w:after="0" w:line="40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以大屏可视化的形式，通过业务质控数据统计、趋势分析、监控预警等手段，将病理科数据图形化、集中化展示；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top"/>
          </w:tcPr>
          <w:p>
            <w:pPr>
              <w:widowControl w:val="0"/>
              <w:wordWrap/>
              <w:adjustRightInd/>
              <w:snapToGrid/>
              <w:spacing w:before="0" w:after="0" w:line="40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病理质控分析及展示：冰冻切片优良率、HE染色切片优良率、免疫组化染色切片优良率</w:t>
            </w:r>
            <w:r>
              <w:rPr>
                <w:rFonts w:hint="eastAsia" w:ascii="仿宋_GB2312" w:hAnsi="仿宋_GB2312" w:eastAsia="仿宋_GB2312" w:cs="仿宋_GB2312"/>
                <w:sz w:val="28"/>
                <w:szCs w:val="28"/>
                <w:lang w:eastAsia="zh-CN"/>
              </w:rPr>
              <w:t>等</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top"/>
          </w:tcPr>
          <w:p>
            <w:pPr>
              <w:widowControl w:val="0"/>
              <w:wordWrap/>
              <w:adjustRightInd/>
              <w:snapToGrid/>
              <w:spacing w:before="0" w:after="0" w:line="40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支持常规与免疫组化切片分类评价管理功能；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top"/>
          </w:tcPr>
          <w:p>
            <w:pPr>
              <w:widowControl w:val="0"/>
              <w:wordWrap/>
              <w:adjustRightInd/>
              <w:snapToGrid/>
              <w:spacing w:before="0" w:after="0" w:line="40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支持病例质控分区管理，方便用户集中进行病例质控管理；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top"/>
          </w:tcPr>
          <w:p>
            <w:pPr>
              <w:widowControl w:val="0"/>
              <w:wordWrap/>
              <w:adjustRightInd/>
              <w:snapToGrid/>
              <w:spacing w:before="0" w:after="0" w:line="40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支持多条件组合及结构化数据精细化查询，提供最近查询记录及便捷反查功能；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top"/>
          </w:tcPr>
          <w:p>
            <w:pPr>
              <w:widowControl w:val="0"/>
              <w:wordWrap/>
              <w:adjustRightInd/>
              <w:snapToGrid/>
              <w:spacing w:before="0" w:after="0" w:line="40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具备数据查询安全性质控管理，可设定多院区查询权限管理；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top"/>
          </w:tcPr>
          <w:p>
            <w:pPr>
              <w:widowControl w:val="0"/>
              <w:wordWrap/>
              <w:adjustRightInd/>
              <w:snapToGrid/>
              <w:spacing w:before="0" w:after="0" w:line="40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支持不同人员查询权限管理、查询数据导出管理等功能；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top"/>
          </w:tcPr>
          <w:p>
            <w:pPr>
              <w:widowControl w:val="0"/>
              <w:wordWrap/>
              <w:adjustRightInd/>
              <w:snapToGrid/>
              <w:spacing w:before="0" w:after="0" w:line="40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支持对复片意见进行评价处理，统计复片数和复片符合率；可控制报告审核前必须输入复片评价结果；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top"/>
          </w:tcPr>
          <w:p>
            <w:pPr>
              <w:widowControl w:val="0"/>
              <w:wordWrap/>
              <w:adjustRightInd/>
              <w:snapToGrid/>
              <w:spacing w:before="0" w:after="0" w:line="40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支持肉眼所见及取材明细针对标本的追踪管理；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top"/>
          </w:tcPr>
          <w:p>
            <w:pPr>
              <w:widowControl w:val="0"/>
              <w:wordWrap/>
              <w:adjustRightInd/>
              <w:snapToGrid/>
              <w:spacing w:before="0" w:after="0" w:line="40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支持同一病理号下的常规报告、补充报告、冰冻报告的单独管理模式，可记录缓发原因，并根据缓发原因自动延长报告到期日期；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top"/>
          </w:tcPr>
          <w:p>
            <w:pPr>
              <w:widowControl w:val="0"/>
              <w:wordWrap/>
              <w:adjustRightInd/>
              <w:snapToGrid/>
              <w:spacing w:before="0" w:after="0" w:line="40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需与科室现有病理系统的业务数据对接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restar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病理</w:t>
            </w:r>
            <w:r>
              <w:rPr>
                <w:rFonts w:hint="eastAsia" w:ascii="仿宋_GB2312" w:hAnsi="仿宋_GB2312" w:eastAsia="仿宋_GB2312" w:cs="仿宋_GB2312"/>
                <w:sz w:val="28"/>
                <w:szCs w:val="28"/>
                <w:lang w:val="en-US" w:eastAsia="zh-CN"/>
              </w:rPr>
              <w:t>质控</w:t>
            </w:r>
            <w:r>
              <w:rPr>
                <w:rFonts w:hint="eastAsia" w:ascii="仿宋_GB2312" w:hAnsi="仿宋_GB2312" w:eastAsia="仿宋_GB2312" w:cs="仿宋_GB2312"/>
                <w:sz w:val="28"/>
                <w:szCs w:val="28"/>
              </w:rPr>
              <w:t>耗材</w:t>
            </w:r>
            <w:r>
              <w:rPr>
                <w:rFonts w:hint="eastAsia" w:ascii="仿宋_GB2312" w:hAnsi="仿宋_GB2312" w:eastAsia="仿宋_GB2312" w:cs="仿宋_GB2312"/>
                <w:sz w:val="28"/>
                <w:szCs w:val="28"/>
                <w:lang w:val="en-US" w:eastAsia="zh-CN"/>
              </w:rPr>
              <w:t>管理</w:t>
            </w:r>
          </w:p>
        </w:tc>
        <w:tc>
          <w:tcPr>
            <w:tcW w:w="6261" w:type="dxa"/>
            <w:vAlign w:val="center"/>
          </w:tcPr>
          <w:p>
            <w:pPr>
              <w:widowControl w:val="0"/>
              <w:wordWrap/>
              <w:adjustRightInd/>
              <w:snapToGrid/>
              <w:spacing w:before="0" w:after="0" w:line="400" w:lineRule="exact"/>
              <w:ind w:left="0" w:leftChars="0" w:right="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支持提供首页管理，直观展示预警信息、库存提醒、到期提醒、今日出库等信息，支持弹框提醒；支持专业组查询、导出功能；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center"/>
          </w:tcPr>
          <w:p>
            <w:pPr>
              <w:widowControl w:val="0"/>
              <w:wordWrap/>
              <w:adjustRightInd/>
              <w:snapToGrid/>
              <w:spacing w:before="0" w:after="0" w:line="400" w:lineRule="exact"/>
              <w:ind w:left="0" w:leftChars="0" w:right="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系统支持供应评价功能，评价记录支持在明细信息中以表格形式展示，展示内容包括：分数、等级、说明、评价人、时间等信息；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center"/>
          </w:tcPr>
          <w:p>
            <w:pPr>
              <w:widowControl w:val="0"/>
              <w:wordWrap/>
              <w:adjustRightInd/>
              <w:snapToGrid/>
              <w:spacing w:before="0" w:after="0" w:line="400" w:lineRule="exact"/>
              <w:ind w:left="0" w:leftChars="0" w:right="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支持与病理系统关联，获取特检医嘱试剂的启用批次；支持查询病理号对应的免疫组化方案；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center"/>
          </w:tcPr>
          <w:p>
            <w:pPr>
              <w:widowControl w:val="0"/>
              <w:wordWrap/>
              <w:adjustRightInd/>
              <w:snapToGrid/>
              <w:spacing w:before="0" w:after="0" w:line="400" w:lineRule="exact"/>
              <w:ind w:left="0" w:leftChars="0" w:right="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系统支持已入库且未做性能验证的试剂批次进行性能验证提醒；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center"/>
          </w:tcPr>
          <w:p>
            <w:pPr>
              <w:widowControl w:val="0"/>
              <w:wordWrap/>
              <w:adjustRightInd/>
              <w:snapToGrid/>
              <w:spacing w:before="0" w:after="0" w:line="400" w:lineRule="exact"/>
              <w:ind w:left="0" w:leftChars="0" w:right="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系统支持危化品领用、出库、记录等功能；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Merge w:val="continue"/>
            <w:vAlign w:val="top"/>
          </w:tcPr>
          <w:p>
            <w:pPr>
              <w:jc w:val="center"/>
              <w:rPr>
                <w:rFonts w:hint="eastAsia" w:ascii="仿宋_GB2312" w:hAnsi="仿宋_GB2312" w:eastAsia="仿宋_GB2312" w:cs="仿宋_GB2312"/>
                <w:sz w:val="28"/>
                <w:szCs w:val="28"/>
              </w:rPr>
            </w:pPr>
          </w:p>
        </w:tc>
        <w:tc>
          <w:tcPr>
            <w:tcW w:w="6261" w:type="dxa"/>
            <w:vAlign w:val="center"/>
          </w:tcPr>
          <w:p>
            <w:pPr>
              <w:widowControl w:val="0"/>
              <w:wordWrap/>
              <w:adjustRightInd/>
              <w:snapToGrid/>
              <w:spacing w:before="0" w:after="0" w:line="400" w:lineRule="exact"/>
              <w:ind w:left="0" w:leftChars="0" w:right="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支持危化品出库双签功能，支持审核人员提醒功能；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Align w:val="top"/>
          </w:tcPr>
          <w:p>
            <w:pPr>
              <w:widowControl w:val="0"/>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eastAsia="仿宋_GB2312"/>
                <w:sz w:val="28"/>
                <w:szCs w:val="28"/>
                <w:lang w:val="en-US" w:eastAsia="zh-CN"/>
              </w:rPr>
              <w:t>设备管理</w:t>
            </w:r>
          </w:p>
        </w:tc>
        <w:tc>
          <w:tcPr>
            <w:tcW w:w="6261" w:type="dxa"/>
            <w:vAlign w:val="center"/>
          </w:tcPr>
          <w:p>
            <w:pPr>
              <w:widowControl w:val="0"/>
              <w:wordWrap/>
              <w:adjustRightInd/>
              <w:snapToGrid/>
              <w:spacing w:before="0" w:after="0" w:line="400" w:lineRule="exact"/>
              <w:ind w:left="0" w:leftChars="0" w:right="0" w:firstLine="0" w:firstLineChars="0"/>
              <w:textAlignment w:val="auto"/>
              <w:outlineLvl w:val="9"/>
              <w:rPr>
                <w:rFonts w:hint="eastAsia" w:ascii="仿宋_GB2312" w:hAnsi="仿宋_GB2312" w:eastAsia="仿宋_GB2312" w:cs="仿宋_GB2312"/>
                <w:sz w:val="28"/>
                <w:szCs w:val="28"/>
              </w:rPr>
            </w:pPr>
            <w:r>
              <w:rPr>
                <w:rFonts w:hint="eastAsia" w:ascii="仿宋_GB2312" w:eastAsia="仿宋_GB2312"/>
                <w:sz w:val="28"/>
                <w:szCs w:val="28"/>
                <w:lang w:val="en-US" w:eastAsia="zh-CN"/>
              </w:rPr>
              <w:t>提供设备基本信息、验收记录、验证记录、维护维修记录、仪器调动记录等，对整个设备全生命周期形成一个闭环管理。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Align w:val="top"/>
          </w:tcPr>
          <w:p>
            <w:pPr>
              <w:widowControl w:val="0"/>
              <w:wordWrap/>
              <w:adjustRightInd/>
              <w:snapToGrid/>
              <w:spacing w:before="0" w:after="0" w:line="400" w:lineRule="exact"/>
              <w:ind w:left="0" w:leftChars="0" w:right="0" w:firstLine="0" w:firstLineChars="0"/>
              <w:jc w:val="center"/>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人员管理</w:t>
            </w:r>
          </w:p>
        </w:tc>
        <w:tc>
          <w:tcPr>
            <w:tcW w:w="6261" w:type="dxa"/>
            <w:vAlign w:val="center"/>
          </w:tcPr>
          <w:p>
            <w:pPr>
              <w:widowControl w:val="0"/>
              <w:wordWrap/>
              <w:adjustRightInd/>
              <w:snapToGrid/>
              <w:spacing w:before="0" w:after="0" w:line="400" w:lineRule="exact"/>
              <w:ind w:left="0" w:leftChars="0" w:right="0" w:firstLine="0" w:firstLineChars="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记录人员基本信息、考核列表、专业能力评估、分级授权、岗前培训与考核、带教记录、个人成果等。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Align w:val="top"/>
          </w:tcPr>
          <w:p>
            <w:pPr>
              <w:widowControl w:val="0"/>
              <w:wordWrap/>
              <w:adjustRightInd/>
              <w:snapToGrid/>
              <w:spacing w:before="0" w:after="0" w:line="400" w:lineRule="exact"/>
              <w:ind w:left="0" w:leftChars="0" w:right="0" w:firstLine="0" w:firstLineChars="0"/>
              <w:jc w:val="center"/>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文件</w:t>
            </w:r>
            <w:r>
              <w:rPr>
                <w:rFonts w:hint="eastAsia" w:ascii="仿宋_GB2312" w:eastAsia="仿宋_GB2312"/>
                <w:sz w:val="28"/>
                <w:szCs w:val="28"/>
                <w:lang w:val="en-US"/>
              </w:rPr>
              <w:t>档案</w:t>
            </w:r>
            <w:r>
              <w:rPr>
                <w:rFonts w:hint="eastAsia" w:ascii="仿宋_GB2312" w:eastAsia="仿宋_GB2312"/>
                <w:sz w:val="28"/>
                <w:szCs w:val="28"/>
                <w:lang w:val="en-US" w:eastAsia="zh-CN"/>
              </w:rPr>
              <w:t>管理</w:t>
            </w:r>
          </w:p>
        </w:tc>
        <w:tc>
          <w:tcPr>
            <w:tcW w:w="6261" w:type="dxa"/>
            <w:vAlign w:val="center"/>
          </w:tcPr>
          <w:p>
            <w:pPr>
              <w:widowControl w:val="0"/>
              <w:wordWrap/>
              <w:adjustRightInd/>
              <w:snapToGrid/>
              <w:spacing w:before="0" w:after="0" w:line="400" w:lineRule="exact"/>
              <w:ind w:left="0" w:leftChars="0" w:right="0" w:firstLine="0" w:firstLineChars="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据不同文件类型包括（质量手册、程序文件、</w:t>
            </w:r>
            <w:r>
              <w:rPr>
                <w:rFonts w:hint="default" w:ascii="仿宋_GB2312" w:eastAsia="仿宋_GB2312"/>
                <w:sz w:val="28"/>
                <w:szCs w:val="28"/>
                <w:lang w:val="en-US" w:eastAsia="zh-CN"/>
              </w:rPr>
              <w:t>SOP</w:t>
            </w:r>
            <w:r>
              <w:rPr>
                <w:rFonts w:hint="eastAsia" w:ascii="仿宋_GB2312" w:eastAsia="仿宋_GB2312"/>
                <w:sz w:val="28"/>
                <w:szCs w:val="28"/>
                <w:lang w:val="en-US" w:eastAsia="zh-CN"/>
              </w:rPr>
              <w:t>文件、记录表单、实验室安全手册、指南共识等），进行分类检索。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95" w:type="dxa"/>
            <w:vAlign w:val="center"/>
          </w:tcPr>
          <w:p>
            <w:pPr>
              <w:pStyle w:val="17"/>
              <w:numPr>
                <w:ilvl w:val="0"/>
                <w:numId w:val="2"/>
              </w:numPr>
              <w:ind w:firstLineChars="0"/>
              <w:jc w:val="center"/>
              <w:rPr>
                <w:rFonts w:hint="eastAsia" w:ascii="仿宋_GB2312" w:hAnsi="仿宋_GB2312" w:eastAsia="仿宋_GB2312" w:cs="仿宋_GB2312"/>
                <w:sz w:val="28"/>
                <w:szCs w:val="28"/>
              </w:rPr>
            </w:pPr>
          </w:p>
        </w:tc>
        <w:tc>
          <w:tcPr>
            <w:tcW w:w="1623" w:type="dxa"/>
            <w:vAlign w:val="top"/>
          </w:tcPr>
          <w:p>
            <w:pPr>
              <w:widowControl w:val="0"/>
              <w:wordWrap/>
              <w:adjustRightInd/>
              <w:snapToGrid/>
              <w:spacing w:before="0" w:after="0" w:line="400" w:lineRule="exact"/>
              <w:ind w:left="0" w:leftChars="0" w:right="0" w:firstLine="0" w:firstLineChars="0"/>
              <w:jc w:val="center"/>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CNAS（中国合格评定国家认可委员会）认可</w:t>
            </w:r>
          </w:p>
        </w:tc>
        <w:tc>
          <w:tcPr>
            <w:tcW w:w="6261" w:type="dxa"/>
            <w:vAlign w:val="center"/>
          </w:tcPr>
          <w:p>
            <w:pPr>
              <w:widowControl w:val="0"/>
              <w:wordWrap/>
              <w:adjustRightInd/>
              <w:snapToGrid/>
              <w:spacing w:before="0" w:after="0" w:line="400" w:lineRule="exact"/>
              <w:ind w:left="0" w:leftChars="0" w:right="0" w:firstLine="0" w:firstLineChars="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包括总体要求、结构和管理要求、风险评估、不良事件统计等。</w:t>
            </w:r>
          </w:p>
        </w:tc>
      </w:tr>
    </w:tbl>
    <w:p>
      <w:pPr>
        <w:rPr>
          <w:rFonts w:hint="eastAsia" w:ascii="仿宋_GB2312" w:hAnsi="仿宋_GB2312" w:eastAsia="仿宋_GB2312" w:cs="仿宋_GB2312"/>
          <w:b/>
          <w:bCs/>
          <w:sz w:val="32"/>
          <w:szCs w:val="32"/>
        </w:rPr>
      </w:pPr>
    </w:p>
    <w:p>
      <w:pPr>
        <w:numPr>
          <w:ilvl w:val="0"/>
          <w:numId w:val="3"/>
        </w:num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pPr>
        <w:pStyle w:val="16"/>
        <w:numPr>
          <w:numId w:val="0"/>
        </w:numPr>
        <w:spacing w:before="0" w:beforeAutospacing="0" w:after="0" w:afterAutospacing="0" w:line="480" w:lineRule="atLeas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1、应结合我院实际医疗及管理需要，对系统进行客户化修改，包括但不限于结合医院实际管理需求；同时不得使用主管部门禁止使用的操作系统及数据库。</w:t>
      </w:r>
    </w:p>
    <w:p>
      <w:pPr>
        <w:pStyle w:val="16"/>
        <w:numPr>
          <w:ilvl w:val="0"/>
          <w:numId w:val="4"/>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pPr>
        <w:pStyle w:val="16"/>
        <w:numPr>
          <w:ilvl w:val="0"/>
          <w:numId w:val="4"/>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6"/>
        <w:numPr>
          <w:ilvl w:val="0"/>
          <w:numId w:val="4"/>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pPr>
        <w:pStyle w:val="16"/>
        <w:numPr>
          <w:ilvl w:val="0"/>
          <w:numId w:val="4"/>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上述各评级不涉及本系统的功能可以按本次招标内容为准。</w:t>
      </w:r>
    </w:p>
    <w:p>
      <w:pPr>
        <w:pStyle w:val="16"/>
        <w:numPr>
          <w:ilvl w:val="0"/>
          <w:numId w:val="4"/>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6"/>
        <w:numPr>
          <w:ilvl w:val="0"/>
          <w:numId w:val="4"/>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年内免费实施政策性国家、省市各平台的数据接口、数据上传等服务及免费实施国密改造、信创国产化，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6"/>
        <w:numPr>
          <w:ilvl w:val="0"/>
          <w:numId w:val="4"/>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6"/>
        <w:numPr>
          <w:ilvl w:val="0"/>
          <w:numId w:val="4"/>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本项目系统需符合《信息安全技术网络安全等级保护基本要求》GB/T22239-2019（三级）要求（下文简称：三级等保2.0），并在三级等保2.0评审中协助完成本系统评审工作。</w:t>
      </w:r>
    </w:p>
    <w:p>
      <w:pPr>
        <w:pStyle w:val="16"/>
        <w:numPr>
          <w:ilvl w:val="0"/>
          <w:numId w:val="4"/>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与医院现有CA数字签名功能实现对接，满足医院各法规需要。</w:t>
      </w:r>
    </w:p>
    <w:p>
      <w:pPr>
        <w:pStyle w:val="16"/>
        <w:numPr>
          <w:ilvl w:val="0"/>
          <w:numId w:val="4"/>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若需接入医院APP(实现院外移动端查询)，则中标人应提供H5接口，并支付相应接口费用（不超过3万元），</w:t>
      </w:r>
      <w:r>
        <w:rPr>
          <w:rFonts w:hint="eastAsia" w:ascii="仿宋_GB2312" w:hAnsi="仿宋_GB2312" w:eastAsia="仿宋_GB2312" w:cs="仿宋_GB2312"/>
          <w:color w:val="auto"/>
          <w:sz w:val="32"/>
          <w:szCs w:val="32"/>
          <w:lang w:val="en-US" w:eastAsia="zh-CN"/>
        </w:rPr>
        <w:t>是否需接入医院APP以项目验收时采购人需求为准。</w:t>
      </w:r>
    </w:p>
    <w:p>
      <w:pPr>
        <w:pStyle w:val="16"/>
        <w:numPr>
          <w:ilvl w:val="0"/>
          <w:numId w:val="4"/>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w:t>
      </w:r>
    </w:p>
    <w:p>
      <w:pPr>
        <w:pStyle w:val="16"/>
        <w:numPr>
          <w:ilvl w:val="0"/>
          <w:numId w:val="4"/>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pPr>
        <w:pStyle w:val="16"/>
        <w:numPr>
          <w:ilvl w:val="0"/>
          <w:numId w:val="4"/>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本项目系统需完成旧系统中的历史数据导入，旧系统中非自动产生的数据（如手工输入值等），在新系统中可不体现或以默认值体现。若有涉及接口费用，由中标方负责，采购人不再向中标人支付接口费用。</w:t>
      </w:r>
    </w:p>
    <w:p>
      <w:pPr>
        <w:pStyle w:val="16"/>
        <w:numPr>
          <w:ilvl w:val="0"/>
          <w:numId w:val="4"/>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本项目软件版面色彩、风格等应按医院要求设计制作；软件标题只能出现医院logo及系统名称，不能出现公司名称，公司名称允许在帮助（help）的关于（about）中出现。具体版面另行通知。</w:t>
      </w:r>
    </w:p>
    <w:p>
      <w:pPr>
        <w:pStyle w:val="16"/>
        <w:numPr>
          <w:ilvl w:val="0"/>
          <w:numId w:val="4"/>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pStyle w:val="16"/>
        <w:numPr>
          <w:ilvl w:val="0"/>
          <w:numId w:val="4"/>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由于本项目与诊疗无关，必须支持国产化操作系统、数据库及前端国产化工作站，暂时未能实现的，后续政策要求时不再另行收费，并在投标文件中出具承诺函。</w:t>
      </w:r>
    </w:p>
    <w:p>
      <w:pPr>
        <w:pStyle w:val="13"/>
        <w:widowControl w:val="0"/>
        <w:numPr>
          <w:ilvl w:val="0"/>
          <w:numId w:val="3"/>
        </w:numPr>
        <w:overflowPunct w:val="0"/>
        <w:autoSpaceDE w:val="0"/>
        <w:autoSpaceDN w:val="0"/>
        <w:adjustRightInd w:val="0"/>
        <w:ind w:left="0" w:leftChars="0" w:firstLine="0" w:firstLineChars="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调研说明</w:t>
      </w:r>
    </w:p>
    <w:p>
      <w:pPr>
        <w:shd w:val="solid" w:color="FFFFFF" w:fill="auto"/>
        <w:autoSpaceDN w:val="0"/>
        <w:spacing w:line="560" w:lineRule="exact"/>
        <w:ind w:firstLine="640" w:firstLineChars="200"/>
        <w:jc w:val="both"/>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lang w:val="en-US" w:eastAsia="zh-CN"/>
        </w:rPr>
        <w:t>报名参加本次</w:t>
      </w:r>
      <w:r>
        <w:rPr>
          <w:rFonts w:hint="eastAsia" w:ascii="仿宋_GB2312" w:hAnsi="仿宋_GB2312" w:eastAsia="仿宋_GB2312" w:cs="仿宋_GB2312"/>
          <w:b w:val="0"/>
          <w:bCs/>
          <w:sz w:val="32"/>
          <w:szCs w:val="32"/>
          <w:shd w:val="clear" w:color="auto" w:fill="FFFFFF"/>
        </w:rPr>
        <w:t>调研</w:t>
      </w:r>
      <w:r>
        <w:rPr>
          <w:rFonts w:hint="eastAsia" w:ascii="仿宋_GB2312" w:hAnsi="仿宋_GB2312" w:eastAsia="仿宋_GB2312" w:cs="仿宋_GB2312"/>
          <w:b w:val="0"/>
          <w:bCs/>
          <w:sz w:val="32"/>
          <w:szCs w:val="32"/>
          <w:shd w:val="clear" w:color="auto" w:fill="FFFFFF"/>
          <w:lang w:val="en-US" w:eastAsia="zh-CN"/>
        </w:rPr>
        <w:t>的供应商、厂家需</w:t>
      </w:r>
      <w:r>
        <w:rPr>
          <w:rFonts w:hint="eastAsia" w:ascii="仿宋_GB2312" w:hAnsi="仿宋_GB2312" w:eastAsia="仿宋_GB2312" w:cs="仿宋_GB2312"/>
          <w:b w:val="0"/>
          <w:bCs/>
          <w:sz w:val="32"/>
          <w:szCs w:val="32"/>
          <w:shd w:val="clear" w:color="auto" w:fill="FFFFFF"/>
        </w:rPr>
        <w:t>提供如下相关资料</w:t>
      </w:r>
      <w:r>
        <w:rPr>
          <w:rFonts w:hint="eastAsia" w:ascii="仿宋_GB2312" w:hAnsi="仿宋_GB2312" w:eastAsia="仿宋_GB2312" w:cs="仿宋_GB2312"/>
          <w:b w:val="0"/>
          <w:bCs/>
          <w:sz w:val="32"/>
          <w:szCs w:val="32"/>
          <w:shd w:val="clear" w:color="auto" w:fill="FFFFFF"/>
          <w:lang w:eastAsia="zh-CN"/>
        </w:rPr>
        <w:t>。</w:t>
      </w:r>
    </w:p>
    <w:p>
      <w:pPr>
        <w:widowControl/>
        <w:numPr>
          <w:numId w:val="0"/>
        </w:numPr>
        <w:wordWrap/>
        <w:snapToGrid/>
        <w:spacing w:before="0" w:after="0" w:line="315" w:lineRule="atLeast"/>
        <w:ind w:left="0" w:leftChars="0" w:right="0" w:firstLine="640" w:firstLineChars="200"/>
        <w:jc w:val="both"/>
        <w:outlineLvl w:val="9"/>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报名请携带加盖公章的项目文件回执单、营业执照复印件、公司简介</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b w:val="0"/>
          <w:bCs/>
          <w:sz w:val="32"/>
          <w:szCs w:val="32"/>
          <w:shd w:val="clear" w:color="auto" w:fill="FFFFFF"/>
        </w:rPr>
        <w:t>提供设备彩页、相关三证等</w:t>
      </w:r>
      <w:r>
        <w:rPr>
          <w:rFonts w:hint="eastAsia" w:ascii="仿宋_GB2312" w:hAnsi="仿宋_GB2312" w:eastAsia="仿宋_GB2312" w:cs="仿宋_GB2312"/>
          <w:b w:val="0"/>
          <w:bCs/>
          <w:sz w:val="32"/>
          <w:szCs w:val="32"/>
          <w:shd w:val="clear" w:color="auto" w:fill="FFFFFF"/>
          <w:lang w:eastAsia="zh-CN"/>
        </w:rPr>
        <w:t>）</w:t>
      </w:r>
      <w:r>
        <w:rPr>
          <w:rFonts w:hint="eastAsia" w:ascii="仿宋_GB2312" w:hAnsi="仿宋_GB2312" w:eastAsia="仿宋_GB2312" w:cs="仿宋_GB2312"/>
          <w:color w:val="000000"/>
          <w:kern w:val="0"/>
          <w:sz w:val="32"/>
          <w:szCs w:val="32"/>
          <w:highlight w:val="none"/>
          <w:lang w:eastAsia="zh-CN"/>
        </w:rPr>
        <w:t>。</w:t>
      </w:r>
    </w:p>
    <w:p>
      <w:pPr>
        <w:widowControl/>
        <w:shd w:val="clear" w:color="auto" w:fill="FFFFFF"/>
        <w:wordWrap/>
        <w:snapToGrid/>
        <w:spacing w:before="0" w:after="0" w:line="500" w:lineRule="atLeast"/>
        <w:ind w:left="0" w:leftChars="0" w:right="0" w:firstLine="640"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wordWrap/>
        <w:snapToGrid/>
        <w:spacing w:before="0" w:after="0" w:line="500" w:lineRule="atLeast"/>
        <w:ind w:left="0" w:leftChars="0" w:right="0" w:firstLine="640"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3"/>
        <w:numPr>
          <w:ilvl w:val="0"/>
          <w:numId w:val="0"/>
        </w:numPr>
        <w:wordWrap/>
        <w:snapToGrid/>
        <w:spacing w:before="0" w:after="0"/>
        <w:ind w:left="0" w:leftChars="0" w:right="0" w:firstLine="640"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rPr>
        <w:t>4、</w:t>
      </w:r>
      <w:r>
        <w:rPr>
          <w:rFonts w:hint="eastAsia" w:ascii="仿宋_GB2312" w:hAnsi="仿宋_GB2312" w:eastAsia="仿宋_GB2312" w:cs="仿宋_GB2312"/>
          <w:color w:val="000000"/>
          <w:spacing w:val="-8"/>
          <w:kern w:val="0"/>
          <w:sz w:val="32"/>
          <w:szCs w:val="32"/>
          <w:shd w:val="clear" w:color="auto" w:fill="FFFFFF"/>
          <w:lang w:val="en-US" w:eastAsia="zh-CN"/>
        </w:rPr>
        <w:t>提供业绩清单及近3年省内同类项目中标书</w:t>
      </w:r>
    </w:p>
    <w:p>
      <w:pPr>
        <w:pStyle w:val="13"/>
        <w:numPr>
          <w:ilvl w:val="0"/>
          <w:numId w:val="0"/>
        </w:numPr>
        <w:wordWrap/>
        <w:snapToGrid/>
        <w:spacing w:before="0" w:after="0"/>
        <w:ind w:left="0" w:leftChars="0" w:right="0" w:firstLine="640"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5、本调研会的报价仅做为本项目公开招标的预算限价；不做参与投标的限制条件；</w:t>
      </w:r>
    </w:p>
    <w:p>
      <w:pPr>
        <w:pStyle w:val="13"/>
        <w:numPr>
          <w:ilvl w:val="0"/>
          <w:numId w:val="0"/>
        </w:numPr>
        <w:wordWrap/>
        <w:snapToGrid/>
        <w:spacing w:before="0" w:after="0"/>
        <w:ind w:left="0" w:leftChars="0" w:right="0" w:firstLine="640"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6、上述各参数将做为本项目招标的主要参数，不代表本项目公开招标的最终参数；</w:t>
      </w:r>
    </w:p>
    <w:p>
      <w:pPr>
        <w:pStyle w:val="13"/>
        <w:numPr>
          <w:ilvl w:val="0"/>
          <w:numId w:val="0"/>
        </w:numPr>
        <w:wordWrap/>
        <w:snapToGrid/>
        <w:spacing w:before="0" w:after="0"/>
        <w:ind w:left="0" w:leftChars="0" w:right="0" w:firstLine="640"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3"/>
        <w:numPr>
          <w:ilvl w:val="0"/>
          <w:numId w:val="0"/>
        </w:numPr>
        <w:ind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autoSpaceDN w:val="0"/>
        <w:spacing w:line="420" w:lineRule="atLeast"/>
        <w:jc w:val="center"/>
        <w:rPr>
          <w:rFonts w:hint="eastAsia" w:ascii="仿宋_GB2312" w:hAnsi="仿宋_GB2312" w:eastAsia="仿宋_GB2312" w:cs="仿宋_GB2312"/>
          <w:b/>
          <w:bCs w:val="0"/>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color w:val="000000"/>
          <w:sz w:val="32"/>
          <w:szCs w:val="32"/>
          <w:shd w:val="clear" w:color="auto" w:fill="FFFFFF"/>
        </w:rPr>
        <w:t>项目文件回执单</w:t>
      </w:r>
    </w:p>
    <w:p>
      <w:pPr>
        <w:shd w:val="solid" w:color="FFFFFF" w:fill="auto"/>
        <w:autoSpaceDN w:val="0"/>
        <w:spacing w:line="420" w:lineRule="atLeast"/>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p>
        </w:tc>
      </w:tr>
    </w:tbl>
    <w:p>
      <w:pPr>
        <w:shd w:val="solid" w:color="FFFFFF" w:fill="auto"/>
        <w:autoSpaceDN w:val="0"/>
        <w:spacing w:line="420" w:lineRule="atLeast"/>
        <w:jc w:val="both"/>
        <w:rPr>
          <w:rFonts w:hint="eastAsia" w:ascii="仿宋_GB2312" w:hAnsi="仿宋_GB2312" w:eastAsia="仿宋_GB2312" w:cs="仿宋_GB2312"/>
          <w:b w:val="0"/>
          <w:bCs/>
          <w:sz w:val="32"/>
          <w:szCs w:val="32"/>
          <w:shd w:val="clear" w:color="auto" w:fill="FFFFFF"/>
        </w:rPr>
      </w:pP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p>
    <w:p>
      <w:pPr>
        <w:pStyle w:val="13"/>
        <w:numPr>
          <w:ilvl w:val="0"/>
          <w:numId w:val="0"/>
        </w:numPr>
        <w:ind w:leftChars="0"/>
        <w:rPr>
          <w:rFonts w:hint="eastAsia" w:ascii="仿宋_GB2312" w:hAnsi="仿宋_GB2312" w:eastAsia="仿宋_GB2312" w:cs="仿宋_GB2312"/>
          <w:b w:val="0"/>
          <w:bCs/>
          <w:sz w:val="32"/>
          <w:szCs w:val="32"/>
          <w:shd w:val="clear" w:color="auto" w:fill="FFFFFF"/>
        </w:rPr>
      </w:pPr>
    </w:p>
    <w:p>
      <w:pPr>
        <w:pStyle w:val="13"/>
        <w:numPr>
          <w:ilvl w:val="0"/>
          <w:numId w:val="0"/>
        </w:numPr>
        <w:ind w:leftChars="0"/>
        <w:jc w:val="right"/>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福建省肿瘤医院</w:t>
      </w:r>
    </w:p>
    <w:p>
      <w:pPr>
        <w:pStyle w:val="13"/>
        <w:numPr>
          <w:ilvl w:val="0"/>
          <w:numId w:val="0"/>
        </w:numPr>
        <w:ind w:leftChars="0"/>
        <w:jc w:val="right"/>
        <w:rPr>
          <w:rFonts w:hint="eastAsia"/>
        </w:rPr>
      </w:pPr>
      <w:r>
        <w:rPr>
          <w:rFonts w:hint="eastAsia" w:ascii="仿宋_GB2312" w:hAnsi="仿宋_GB2312" w:cs="仿宋_GB2312"/>
          <w:sz w:val="32"/>
          <w:szCs w:val="32"/>
          <w:lang w:val="en-US" w:eastAsia="zh-CN"/>
        </w:rPr>
        <w:t>年  月  日</w:t>
      </w:r>
    </w:p>
    <w:bookmarkEnd w:id="0"/>
    <w:sectPr>
      <w:footerReference r:id="rId4"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80533256">
    <w:nsid w:val="4C536308"/>
    <w:multiLevelType w:val="multilevel"/>
    <w:tmpl w:val="4C536308"/>
    <w:lvl w:ilvl="0" w:tentative="1">
      <w:start w:val="1"/>
      <w:numFmt w:val="decimal"/>
      <w:suff w:val="nothing"/>
      <w:lvlText w:val="%1"/>
      <w:lvlJc w:val="left"/>
      <w:pPr>
        <w:ind w:left="440" w:hanging="440"/>
      </w:pPr>
      <w:rPr>
        <w:rFonts w:hint="eastAsia"/>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348412725">
    <w:nsid w:val="14C45B35"/>
    <w:multiLevelType w:val="multilevel"/>
    <w:tmpl w:val="14C45B35"/>
    <w:lvl w:ilvl="0" w:tentative="1">
      <w:start w:val="1"/>
      <w:numFmt w:val="decimal"/>
      <w:pStyle w:val="13"/>
      <w:suff w:val="nothing"/>
      <w:lvlText w:val="%1、"/>
      <w:lvlJc w:val="left"/>
      <w:pPr>
        <w:ind w:left="0" w:firstLine="0"/>
      </w:pPr>
      <w:rPr>
        <w:rFonts w:hint="eastAsia"/>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1675063653">
    <w:nsid w:val="63D77165"/>
    <w:multiLevelType w:val="singleLevel"/>
    <w:tmpl w:val="63D77165"/>
    <w:lvl w:ilvl="0" w:tentative="1">
      <w:start w:val="2"/>
      <w:numFmt w:val="decimal"/>
      <w:suff w:val="nothing"/>
      <w:lvlText w:val="%1、"/>
      <w:lvlJc w:val="left"/>
    </w:lvl>
  </w:abstractNum>
  <w:abstractNum w:abstractNumId="1398085122">
    <w:nsid w:val="53551602"/>
    <w:multiLevelType w:val="singleLevel"/>
    <w:tmpl w:val="53551602"/>
    <w:lvl w:ilvl="0" w:tentative="1">
      <w:start w:val="3"/>
      <w:numFmt w:val="chineseCounting"/>
      <w:suff w:val="nothing"/>
      <w:lvlText w:val="%1、"/>
      <w:lvlJc w:val="left"/>
      <w:rPr>
        <w:rFonts w:hint="eastAsia"/>
      </w:rPr>
    </w:lvl>
  </w:abstractNum>
  <w:num w:numId="1">
    <w:abstractNumId w:val="348412725"/>
  </w:num>
  <w:num w:numId="2">
    <w:abstractNumId w:val="1280533256"/>
  </w:num>
  <w:num w:numId="3">
    <w:abstractNumId w:val="1398085122"/>
  </w:num>
  <w:num w:numId="4">
    <w:abstractNumId w:val="16750636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DU1MGY4ZmQ0MDhlMDljODc0MjNlNWJjOTEzOWFkOTc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uiPriority w:val="1"/>
  </w:style>
  <w:style w:type="paragraph" w:styleId="4">
    <w:name w:val="annotation subject"/>
    <w:basedOn w:val="5"/>
    <w:next w:val="5"/>
    <w:link w:val="19"/>
    <w:uiPriority w:val="0"/>
    <w:rPr>
      <w:b/>
      <w:bCs/>
    </w:rPr>
  </w:style>
  <w:style w:type="paragraph" w:styleId="5">
    <w:name w:val="annotation text"/>
    <w:basedOn w:val="1"/>
    <w:link w:val="18"/>
    <w:uiPriority w:val="0"/>
    <w:pPr>
      <w:jc w:val="left"/>
    </w:pPr>
  </w:style>
  <w:style w:type="paragraph" w:styleId="6">
    <w:name w:val="Body Text"/>
    <w:basedOn w:val="1"/>
    <w:next w:val="7"/>
    <w:unhideWhenUsed/>
    <w:qFormat/>
    <w:uiPriority w:val="99"/>
    <w:rPr>
      <w:rFonts w:ascii="仿宋_GB2312" w:eastAsia="仿宋_GB2312"/>
      <w:sz w:val="32"/>
    </w:rPr>
  </w:style>
  <w:style w:type="paragraph" w:customStyle="1" w:styleId="7">
    <w:name w:val="引用1"/>
    <w:basedOn w:val="1"/>
    <w:next w:val="1"/>
    <w:qFormat/>
    <w:uiPriority w:val="29"/>
    <w:pPr>
      <w:spacing w:beforeLines="50" w:afterLines="50" w:line="360" w:lineRule="auto"/>
    </w:pPr>
    <w:rPr>
      <w:i/>
      <w:iCs/>
      <w:color w:val="000000"/>
      <w:lang w:val="zh-CN"/>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character" w:styleId="12">
    <w:name w:val="annotation reference"/>
    <w:basedOn w:val="10"/>
    <w:uiPriority w:val="0"/>
    <w:rPr>
      <w:sz w:val="21"/>
      <w:szCs w:val="21"/>
    </w:rPr>
  </w:style>
  <w:style w:type="paragraph" w:customStyle="1" w:styleId="13">
    <w:name w:val="Fließtext"/>
    <w:basedOn w:val="1"/>
    <w:qFormat/>
    <w:uiPriority w:val="0"/>
    <w:pPr>
      <w:numPr>
        <w:ilvl w:val="0"/>
        <w:numId w:val="1"/>
      </w:numPr>
      <w:overflowPunct w:val="0"/>
      <w:autoSpaceDE w:val="0"/>
      <w:autoSpaceDN w:val="0"/>
      <w:adjustRightInd w:val="0"/>
      <w:textAlignment w:val="baseline"/>
    </w:pPr>
    <w:rPr>
      <w:rFonts w:ascii="仿宋_GB2312" w:hAnsi="仿宋_GB2312" w:eastAsia="仿宋_GB2312" w:cs="仿宋_GB2312"/>
      <w:kern w:val="0"/>
      <w:sz w:val="32"/>
      <w:szCs w:val="32"/>
    </w:rPr>
  </w:style>
  <w:style w:type="paragraph" w:customStyle="1" w:styleId="14">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5">
    <w:name w:val="列表段落1"/>
    <w:basedOn w:val="1"/>
    <w:qFormat/>
    <w:uiPriority w:val="34"/>
    <w:pPr>
      <w:ind w:firstLine="420" w:firstLineChars="200"/>
    </w:p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List Paragraph"/>
    <w:basedOn w:val="1"/>
    <w:qFormat/>
    <w:uiPriority w:val="34"/>
    <w:pPr>
      <w:widowControl/>
      <w:spacing w:line="360" w:lineRule="auto"/>
      <w:ind w:firstLine="420" w:firstLineChars="200"/>
      <w:jc w:val="left"/>
    </w:pPr>
    <w:rPr>
      <w:rFonts w:ascii="Times New Roman" w:hAnsi="Times New Roman" w:cs="黑体"/>
      <w:sz w:val="24"/>
    </w:rPr>
  </w:style>
  <w:style w:type="character" w:customStyle="1" w:styleId="18">
    <w:name w:val="批注文字 字符"/>
    <w:basedOn w:val="10"/>
    <w:link w:val="5"/>
    <w:uiPriority w:val="0"/>
    <w:rPr>
      <w:rFonts w:ascii="Calibri" w:hAnsi="Calibri" w:cs="黑体"/>
      <w:kern w:val="2"/>
      <w:sz w:val="21"/>
      <w:szCs w:val="24"/>
    </w:rPr>
  </w:style>
  <w:style w:type="character" w:customStyle="1" w:styleId="19">
    <w:name w:val="批注主题 字符"/>
    <w:basedOn w:val="18"/>
    <w:link w:val="4"/>
    <w:uiPriority w:val="0"/>
    <w:rPr>
      <w:rFonts w:ascii="Calibri" w:hAnsi="Calibri" w:cs="黑体"/>
      <w:b/>
      <w:bCs/>
      <w:kern w:val="2"/>
      <w:sz w:val="21"/>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471</Words>
  <Characters>2690</Characters>
  <Lines>22</Lines>
  <Paragraphs>6</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Admin</cp:lastModifiedBy>
  <cp:lastPrinted>2023-06-20T07:45:00Z</cp:lastPrinted>
  <dcterms:modified xsi:type="dcterms:W3CDTF">2024-12-02T07:12:39Z</dcterms:modified>
  <dc:title>设备科：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2151DB4C28FD43D283EAAED6AC29DD08_13</vt:lpwstr>
  </property>
</Properties>
</file>