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Lines="50" w:line="5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 资产数据迁移对接改造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0" w:line="56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36" w:lineRule="auto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36" w:lineRule="auto"/>
        <w:ind w:left="1260" w:leftChars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金 工</w:t>
      </w:r>
    </w:p>
    <w:p>
      <w:pPr>
        <w:pStyle w:val="11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line="240" w:lineRule="auto"/>
        <w:ind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spacing w:line="440" w:lineRule="atLeas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658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1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658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spacing w:afterLines="5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2217" w:type="dxa"/>
            <w:vAlign w:val="center"/>
          </w:tcPr>
          <w:p>
            <w:pPr>
              <w:widowControl/>
              <w:spacing w:afterLine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一）</w:t>
            </w:r>
          </w:p>
        </w:tc>
        <w:tc>
          <w:tcPr>
            <w:tcW w:w="3658" w:type="dxa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3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资产数据迁移对接改造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开发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159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</w:tr>
    </w:tbl>
    <w:p>
      <w:pPr>
        <w:keepNext/>
        <w:widowControl/>
        <w:numPr>
          <w:numId w:val="0"/>
        </w:numPr>
        <w:shd w:val="clear" w:color="auto" w:fill="FFFFFF"/>
        <w:autoSpaceDE w:val="0"/>
        <w:spacing w:before="120" w:after="120"/>
        <w:ind w:leftChars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1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95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19"/>
        <w:gridCol w:w="1342"/>
        <w:gridCol w:w="7064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90" w:hRule="atLeast"/>
        </w:trPr>
        <w:tc>
          <w:tcPr>
            <w:tcW w:w="9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技术参数要求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12" w:hRule="atLeast"/>
        </w:trPr>
        <w:tc>
          <w:tcPr>
            <w:tcW w:w="9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财政上报</w:t>
            </w:r>
          </w:p>
        </w:tc>
        <w:tc>
          <w:tcPr>
            <w:tcW w:w="70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财政上报是用于医院内部资产数据与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财政一体化系统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之间的数据交互。包含接口配置、资产查询以及数据推送等业务功能。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一、接口配置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实现接口管理，支持HRP接口路径url、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路径url、key、区划编码、单位编码以及建账日期等接口信息维护，为数据交互奠定基础。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二、资产查询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实现医院内部资产卡片信息查询，支持通过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卡片信息等查询条件进行检索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三、数据推送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实现按照数据类型推送相应数据给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财政一体化系统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，包括基础数据、卡片数据、建账数据、折旧数据以及单据数据。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支持推送基础数据，包括单位内部机构信息、人员信息以及存放地信息。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支持推送卡片数据，包括卡片信息、卡片在建工程明细信息以及卡片附件信息。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持推送建账数据，包括资产信息卡计提折旧表唯一标识、财政区划代码、单位代码、单位名称、是否忽略卡片原有累计折旧、资产原值、累计折旧、净值、资产数量、建账月份、当前折旧月份、建账状态、创建时间、是否删除以及更新时间等。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56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支持推送折旧数据，包括计提折旧信息和补提冲减信息。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pStyle w:val="14"/>
        <w:numPr>
          <w:numId w:val="0"/>
        </w:numPr>
        <w:spacing w:before="0" w:beforeAutospacing="0" w:after="0" w:afterAutospacing="0" w:line="48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1、应结合我院实际医疗及管理需要，对系统进行客户化修改，包括但不限于结合医院实际管理需求；同时不得使用主管部门禁止使用的操作系统及数据库。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国家《医院信息系统功能规范》第十二条以及国家信息化建设审计要求，至少必须提供数据字典、数据结构与流程、操作使用手册、系统维护手册。必须提供完整的总体设计报告、需求分析说明书、概要设计说明书、详细设计说明书、数据字典、数据结构与流程、测试报告、操作使用手册、系统维护手册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具备各数据表基础数据项的完整性，诸如：数据的创建人、创建时间、最后修改人、最后修改时间等；具备应用系统数据修改痕迹管理，各项核心业务的数据修改必须以日志形式保存，数据修改日志至少必须有“数据基础信息”、“修改前数据”、“修改后数据”、“修改人”、“修改时间”五个部分核心数据项组成；具备应用系统可以手动设置本地日志的保存目录，并自动必须定期清除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本项目为交钥匙工程，本项目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与各业务系统及设备的数据接口由中标人自行负责。本项目涉及院内现有各业务系统接口的，采购人不再向中标人支付接口费用。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本项目系统应提供与医院HIS，电子病历、危急值平台、报告平台、麻醉耗材、患者360（含HIS360、CDR360）等系统无缝集成接口，符合电子病历6级、医院的互联互通5级、智慧医院4级的建设要求，上述各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评级不涉及本系统的功能可以按本次招标内容为准。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与集成平台通过统一的数据接口，实现浏览各检查报告具备通过系统集成平台按照国家、院内、院级数据集标准进行数据交换。具备多模式下数据交换接口的切换管理，诸如：集成平台出现故障时，可切换成应用系统服务接口模式或数据表模式，集成平台恢复时，可重新切换成集成平台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政策性国家、省市各平台的数据接口、数据上传等服务及免费实施国密改造、信创国产化，包括但不限于：福建省卫健委居民健康综合服务平台、福建省检查检验结果互联互通互认平台、福建省卫健委多码融合项目等，产生相应指标，推送至医疗平台接口中（涉及其他系统，应与其他系统配合实施）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所有的工作流程节点（诸如：工作环节名称、患者ID、操作人、操作时间等）必须发送至全院工作流程管理平台进行接收、存储；本项目所涉及的影像文件（照片、图像等），则必须与全院统一影像数据中台实现交互，全部由全院统一影像数据中台进行管理（接收、存储、调阅等），原则上本项目服务器及应用系统不保存所涉及的影像文件（照片、图像等）；各具体接口技术方案待实施时由采购人提供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本项目系统需符合《信息安全技术网络安全等级保护基本要求》GB/T22239-2019（三级）要求（下文简称：三级等保2.0），并在三级等保2.0评审中协助完成本系统评审工作。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与医院现有CA数字签名功能实现对接，满足医院各法规需要。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若需接入医院APP(实现院外移动端查询)，则中标人应提供H5接口，并支付相应接口费用（不超过3万元），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是否需接入医院APP以项目验收时采购人需求为准。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在本项目系统软件使用及维保有效期内，本项目软件在每个使用科室使用的终端数量不受限制，数据不得加密，不得使用加密狗、打印加密、功能加密等任何软件使用约束。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本项目软件部分按总价进行报价，不能以安装工作站数量进行报价。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本项目系统需完成旧系统中的历史数据导入，旧系统中非自动产生的数据（如手工输入值等），在新系统中可不体现或以默认值体现。若有涉及接口费用，由中标方负责，采购人不再向中标人支付接口费用。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本项目软件版面色彩、风格等应按医院要求设计制作；软件标题只能出现医院logo及系统名称，不能出现公司名称，公司名称允许在帮助（help）的关于（about）中出现。具体版面另行通知。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4"/>
        <w:numPr>
          <w:ilvl w:val="0"/>
          <w:numId w:val="2"/>
        </w:numPr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由于本项目与诊疗无关，必须支持国产化操作系统、数据库及前端国产化工作站，暂时未能实现的，后续政策要求时不再另行收费，并在投标文件中出具承诺函。</w:t>
      </w:r>
    </w:p>
    <w:p>
      <w:pPr>
        <w:pStyle w:val="11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autoSpaceDN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numId w:val="0"/>
        </w:numPr>
        <w:wordWrap/>
        <w:snapToGrid/>
        <w:spacing w:before="0" w:after="0" w:line="315" w:lineRule="atLeast"/>
        <w:ind w:left="0" w:leftChars="0"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500" w:lineRule="atLeast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numPr>
          <w:numId w:val="0"/>
        </w:numPr>
        <w:wordWrap/>
        <w:snapToGrid/>
        <w:spacing w:before="0" w:after="0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420" w:lineRule="atLeas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autoSpaceDN w:val="0"/>
        <w:spacing w:line="420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2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autoSpaceDN w:val="0"/>
        <w:spacing w:line="420" w:lineRule="atLeas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autoSpaceDN w:val="0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4" w:type="default"/>
      <w:pgSz w:w="12240" w:h="15840"/>
      <w:pgMar w:top="1134" w:right="1587" w:bottom="1134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675063653">
    <w:nsid w:val="63D77165"/>
    <w:multiLevelType w:val="singleLevel"/>
    <w:tmpl w:val="63D77165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398085122"/>
  </w:num>
  <w:num w:numId="2">
    <w:abstractNumId w:val="16750636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TJhN2FhOWIzN2VlNzNmZmZiNzM1N2NjYzc0ZTJjYTY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7461</Words>
  <Characters>7563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2024-11-27T03:01:11Z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CD1CBFDCF0B34D54A1323A555A4AB815_12</vt:lpwstr>
  </property>
</Properties>
</file>