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40738A">
      <w:pPr>
        <w:pStyle w:val="18"/>
        <w:spacing w:before="75" w:beforeAutospacing="0" w:after="75" w:afterAutospacing="0"/>
        <w:jc w:val="center"/>
        <w:rPr>
          <w:rFonts w:hint="eastAsia" w:cs="宋体" w:asciiTheme="minorEastAsia" w:hAnsiTheme="minorEastAsia" w:eastAsiaTheme="minorEastAsia"/>
          <w:b/>
          <w:bCs/>
          <w:sz w:val="32"/>
          <w:szCs w:val="32"/>
        </w:rPr>
      </w:pPr>
    </w:p>
    <w:p w14:paraId="3B9D53B1">
      <w:pPr>
        <w:adjustRightInd/>
        <w:snapToGrid/>
        <w:spacing w:after="0" w:line="480" w:lineRule="atLeast"/>
        <w:jc w:val="center"/>
        <w:rPr>
          <w:rFonts w:hint="eastAsia" w:cs="宋体" w:asciiTheme="minorEastAsia" w:hAnsiTheme="minorEastAsia" w:eastAsiaTheme="minorEastAsia"/>
          <w:b/>
          <w:bCs/>
          <w:color w:val="404040"/>
          <w:sz w:val="32"/>
          <w:szCs w:val="32"/>
        </w:rPr>
      </w:pPr>
      <w:bookmarkStart w:id="0" w:name="_Hlk181695900"/>
      <w:bookmarkStart w:id="1" w:name="_Hlk181628789"/>
      <w:r>
        <w:rPr>
          <w:rFonts w:cs="宋体" w:asciiTheme="minorEastAsia" w:hAnsiTheme="minorEastAsia" w:eastAsiaTheme="minorEastAsia"/>
          <w:b/>
          <w:bCs/>
          <w:color w:val="404040"/>
          <w:sz w:val="32"/>
          <w:szCs w:val="32"/>
        </w:rPr>
        <w:t>福建省肿瘤医院</w:t>
      </w:r>
      <w:r>
        <w:rPr>
          <w:rFonts w:hint="eastAsia" w:cs="宋体" w:asciiTheme="minorEastAsia" w:hAnsiTheme="minorEastAsia" w:eastAsiaTheme="minorEastAsia"/>
          <w:b/>
          <w:bCs/>
          <w:color w:val="404040"/>
          <w:sz w:val="32"/>
          <w:szCs w:val="32"/>
        </w:rPr>
        <w:t>护理护工服务遴选</w:t>
      </w:r>
    </w:p>
    <w:bookmarkEnd w:id="0"/>
    <w:p w14:paraId="1DA08FFC">
      <w:pPr>
        <w:adjustRightInd/>
        <w:snapToGrid/>
        <w:spacing w:after="0" w:line="480" w:lineRule="atLeast"/>
        <w:jc w:val="center"/>
        <w:rPr>
          <w:rFonts w:hint="eastAsia" w:cs="宋体" w:asciiTheme="minorEastAsia" w:hAnsiTheme="minorEastAsia" w:eastAsiaTheme="minorEastAsia"/>
          <w:b/>
          <w:bCs/>
          <w:color w:val="404040"/>
          <w:sz w:val="32"/>
          <w:szCs w:val="32"/>
        </w:rPr>
      </w:pPr>
      <w:r>
        <w:rPr>
          <w:rFonts w:hint="eastAsia" w:cs="宋体" w:asciiTheme="minorEastAsia" w:hAnsiTheme="minorEastAsia" w:eastAsiaTheme="minorEastAsia"/>
          <w:b/>
          <w:bCs/>
          <w:color w:val="404040"/>
          <w:sz w:val="32"/>
          <w:szCs w:val="32"/>
        </w:rPr>
        <w:t>项目</w:t>
      </w:r>
      <w:bookmarkEnd w:id="1"/>
      <w:r>
        <w:rPr>
          <w:rFonts w:hint="eastAsia" w:cs="宋体" w:asciiTheme="minorEastAsia" w:hAnsiTheme="minorEastAsia" w:eastAsiaTheme="minorEastAsia"/>
          <w:b/>
          <w:bCs/>
          <w:color w:val="404040"/>
          <w:sz w:val="32"/>
          <w:szCs w:val="32"/>
        </w:rPr>
        <w:t>招标公告</w:t>
      </w:r>
    </w:p>
    <w:p w14:paraId="33C0727E">
      <w:pPr>
        <w:adjustRightInd/>
        <w:snapToGrid/>
        <w:spacing w:before="150" w:after="0" w:line="480" w:lineRule="atLeast"/>
        <w:jc w:val="both"/>
        <w:rPr>
          <w:rFonts w:hint="eastAsia" w:cs="宋体" w:asciiTheme="minorEastAsia" w:hAnsiTheme="minorEastAsia" w:eastAsiaTheme="minorEastAsia"/>
          <w:color w:val="404040"/>
          <w:sz w:val="28"/>
          <w:szCs w:val="28"/>
        </w:rPr>
      </w:pPr>
      <w:r>
        <w:rPr>
          <w:rFonts w:hint="eastAsia" w:cs="宋体" w:asciiTheme="minorEastAsia" w:hAnsiTheme="minorEastAsia" w:eastAsiaTheme="minorEastAsia"/>
          <w:b/>
          <w:bCs/>
          <w:color w:val="404040"/>
          <w:sz w:val="26"/>
        </w:rPr>
        <w:t>一、招标项目概况和范围</w:t>
      </w:r>
    </w:p>
    <w:p w14:paraId="78F50B3C">
      <w:pPr>
        <w:pStyle w:val="36"/>
        <w:numPr>
          <w:ilvl w:val="0"/>
          <w:numId w:val="1"/>
        </w:numPr>
        <w:adjustRightInd/>
        <w:snapToGrid/>
        <w:spacing w:after="0" w:line="480" w:lineRule="atLeast"/>
        <w:contextualSpacing w:val="0"/>
        <w:rPr>
          <w:rFonts w:hint="eastAsia" w:cs="宋体" w:asciiTheme="minorEastAsia" w:hAnsiTheme="minorEastAsia" w:eastAsiaTheme="minorEastAsia"/>
          <w:color w:val="404040"/>
          <w:sz w:val="26"/>
          <w:szCs w:val="26"/>
        </w:rPr>
      </w:pPr>
      <w:r>
        <w:rPr>
          <w:rFonts w:hint="eastAsia" w:cs="宋体" w:asciiTheme="minorEastAsia" w:hAnsiTheme="minorEastAsia" w:eastAsiaTheme="minorEastAsia"/>
          <w:color w:val="404040"/>
          <w:sz w:val="26"/>
          <w:szCs w:val="26"/>
        </w:rPr>
        <w:t>项目名称：福建省肿瘤医院护理护工服务遴选项目</w:t>
      </w:r>
    </w:p>
    <w:p w14:paraId="6BBCF73A">
      <w:pPr>
        <w:pStyle w:val="36"/>
        <w:numPr>
          <w:ilvl w:val="0"/>
          <w:numId w:val="1"/>
        </w:numPr>
        <w:adjustRightInd/>
        <w:snapToGrid/>
        <w:spacing w:after="0" w:line="480" w:lineRule="atLeast"/>
        <w:contextualSpacing w:val="0"/>
        <w:rPr>
          <w:rFonts w:hint="eastAsia" w:cs="宋体" w:asciiTheme="minorEastAsia" w:hAnsiTheme="minorEastAsia" w:eastAsiaTheme="minorEastAsia"/>
          <w:color w:val="404040"/>
          <w:sz w:val="26"/>
          <w:szCs w:val="26"/>
        </w:rPr>
      </w:pPr>
      <w:r>
        <w:rPr>
          <w:rFonts w:hint="eastAsia" w:cs="宋体" w:asciiTheme="minorEastAsia" w:hAnsiTheme="minorEastAsia" w:eastAsiaTheme="minorEastAsia"/>
          <w:color w:val="404040"/>
          <w:sz w:val="26"/>
          <w:szCs w:val="26"/>
        </w:rPr>
        <w:t>项目地点：福马路420号。</w:t>
      </w:r>
    </w:p>
    <w:p w14:paraId="4B6564C8">
      <w:pPr>
        <w:pStyle w:val="36"/>
        <w:numPr>
          <w:ilvl w:val="0"/>
          <w:numId w:val="1"/>
        </w:numPr>
        <w:adjustRightInd/>
        <w:snapToGrid/>
        <w:spacing w:after="0" w:line="480" w:lineRule="atLeast"/>
        <w:contextualSpacing w:val="0"/>
        <w:rPr>
          <w:rFonts w:hint="eastAsia" w:cs="宋体" w:asciiTheme="minorEastAsia" w:hAnsiTheme="minorEastAsia" w:eastAsiaTheme="minorEastAsia"/>
          <w:color w:val="404040"/>
          <w:sz w:val="26"/>
          <w:szCs w:val="26"/>
        </w:rPr>
      </w:pPr>
      <w:r>
        <w:rPr>
          <w:rFonts w:hint="eastAsia" w:cs="宋体" w:asciiTheme="minorEastAsia" w:hAnsiTheme="minorEastAsia" w:eastAsiaTheme="minorEastAsia"/>
          <w:color w:val="404040"/>
          <w:sz w:val="26"/>
          <w:szCs w:val="26"/>
        </w:rPr>
        <w:t>招标范围和内容：见附件。</w:t>
      </w:r>
    </w:p>
    <w:p w14:paraId="7C21C0A3">
      <w:pPr>
        <w:adjustRightInd/>
        <w:snapToGrid/>
        <w:spacing w:before="150" w:after="0" w:line="480" w:lineRule="atLeast"/>
        <w:jc w:val="both"/>
        <w:rPr>
          <w:rFonts w:hint="eastAsia" w:cs="宋体" w:asciiTheme="minorEastAsia" w:hAnsiTheme="minorEastAsia" w:eastAsiaTheme="minorEastAsia"/>
          <w:b/>
          <w:bCs/>
          <w:color w:val="404040"/>
          <w:sz w:val="26"/>
        </w:rPr>
      </w:pPr>
      <w:r>
        <w:rPr>
          <w:rFonts w:hint="eastAsia" w:cs="宋体" w:asciiTheme="minorEastAsia" w:hAnsiTheme="minorEastAsia" w:eastAsiaTheme="minorEastAsia"/>
          <w:b/>
          <w:bCs/>
          <w:color w:val="404040"/>
          <w:sz w:val="26"/>
        </w:rPr>
        <w:t>二、投标人资格要求及审查办法</w:t>
      </w:r>
    </w:p>
    <w:p w14:paraId="35E81E95">
      <w:pPr>
        <w:numPr>
          <w:ilvl w:val="0"/>
          <w:numId w:val="2"/>
        </w:numPr>
        <w:adjustRightInd/>
        <w:snapToGrid/>
        <w:spacing w:before="150" w:after="0" w:line="480" w:lineRule="atLeast"/>
        <w:jc w:val="both"/>
        <w:rPr>
          <w:rFonts w:hint="eastAsia" w:cs="宋体" w:asciiTheme="minorEastAsia" w:hAnsiTheme="minorEastAsia" w:eastAsiaTheme="minorEastAsia"/>
          <w:color w:val="404040"/>
          <w:sz w:val="26"/>
          <w:szCs w:val="26"/>
        </w:rPr>
      </w:pPr>
      <w:r>
        <w:rPr>
          <w:rFonts w:hint="eastAsia" w:cs="宋体" w:asciiTheme="minorEastAsia" w:hAnsiTheme="minorEastAsia" w:eastAsiaTheme="minorEastAsia"/>
          <w:color w:val="404040"/>
          <w:sz w:val="26"/>
          <w:szCs w:val="26"/>
        </w:rPr>
        <w:t>满足《中华人民共和国政府采购法》第二十二条规定。</w:t>
      </w:r>
    </w:p>
    <w:p w14:paraId="24EA0D3A">
      <w:pPr>
        <w:numPr>
          <w:ilvl w:val="0"/>
          <w:numId w:val="2"/>
        </w:numPr>
        <w:adjustRightInd/>
        <w:snapToGrid/>
        <w:spacing w:before="150" w:after="0" w:line="480" w:lineRule="atLeast"/>
        <w:jc w:val="both"/>
        <w:rPr>
          <w:rFonts w:hint="eastAsia" w:cs="宋体" w:asciiTheme="minorEastAsia" w:hAnsiTheme="minorEastAsia" w:eastAsiaTheme="minorEastAsia"/>
          <w:color w:val="404040"/>
          <w:sz w:val="26"/>
          <w:szCs w:val="26"/>
        </w:rPr>
      </w:pPr>
      <w:r>
        <w:rPr>
          <w:rFonts w:hint="eastAsia" w:cs="宋体" w:asciiTheme="minorEastAsia" w:hAnsiTheme="minorEastAsia" w:eastAsiaTheme="minorEastAsia"/>
          <w:color w:val="404040"/>
          <w:sz w:val="26"/>
          <w:szCs w:val="26"/>
        </w:rPr>
        <w:t>落实政府采购政策需满足的资格要求。</w:t>
      </w:r>
    </w:p>
    <w:p w14:paraId="420A2E68">
      <w:pPr>
        <w:numPr>
          <w:ilvl w:val="0"/>
          <w:numId w:val="2"/>
        </w:numPr>
        <w:adjustRightInd/>
        <w:snapToGrid/>
        <w:spacing w:before="150" w:after="0" w:line="480" w:lineRule="atLeast"/>
        <w:jc w:val="both"/>
        <w:rPr>
          <w:rFonts w:hint="eastAsia" w:cs="宋体" w:asciiTheme="minorEastAsia" w:hAnsiTheme="minorEastAsia" w:eastAsiaTheme="minorEastAsia"/>
          <w:color w:val="404040"/>
          <w:sz w:val="26"/>
          <w:szCs w:val="26"/>
        </w:rPr>
      </w:pPr>
      <w:r>
        <w:rPr>
          <w:rFonts w:hint="eastAsia" w:cs="宋体" w:asciiTheme="minorEastAsia" w:hAnsiTheme="minorEastAsia" w:eastAsiaTheme="minorEastAsia"/>
          <w:color w:val="404040"/>
          <w:sz w:val="26"/>
          <w:szCs w:val="26"/>
        </w:rPr>
        <w:t>委托代表人资格证明书（附法人及委托人身份证）。</w:t>
      </w:r>
    </w:p>
    <w:p w14:paraId="20A993BD">
      <w:pPr>
        <w:numPr>
          <w:ilvl w:val="0"/>
          <w:numId w:val="2"/>
        </w:numPr>
        <w:adjustRightInd/>
        <w:snapToGrid/>
        <w:spacing w:before="150" w:after="0" w:line="480" w:lineRule="atLeast"/>
        <w:jc w:val="both"/>
        <w:rPr>
          <w:rFonts w:hint="eastAsia" w:cs="宋体" w:asciiTheme="minorEastAsia" w:hAnsiTheme="minorEastAsia" w:eastAsiaTheme="minorEastAsia"/>
          <w:color w:val="404040"/>
          <w:sz w:val="26"/>
          <w:szCs w:val="26"/>
        </w:rPr>
      </w:pPr>
      <w:r>
        <w:rPr>
          <w:rFonts w:hint="eastAsia" w:cs="宋体" w:asciiTheme="minorEastAsia" w:hAnsiTheme="minorEastAsia" w:eastAsiaTheme="minorEastAsia"/>
          <w:color w:val="404040"/>
          <w:sz w:val="26"/>
          <w:szCs w:val="26"/>
        </w:rPr>
        <w:t>投标人须具有有效的《劳务派遣经营许可证》</w:t>
      </w:r>
    </w:p>
    <w:p w14:paraId="673E7AD2">
      <w:pPr>
        <w:numPr>
          <w:ilvl w:val="0"/>
          <w:numId w:val="2"/>
        </w:numPr>
        <w:adjustRightInd/>
        <w:snapToGrid/>
        <w:spacing w:before="150" w:after="0" w:line="480" w:lineRule="atLeast"/>
        <w:jc w:val="both"/>
        <w:rPr>
          <w:rFonts w:hint="eastAsia" w:cs="宋体" w:asciiTheme="minorEastAsia" w:hAnsiTheme="minorEastAsia" w:eastAsiaTheme="minorEastAsia"/>
          <w:color w:val="404040"/>
          <w:sz w:val="26"/>
          <w:szCs w:val="26"/>
        </w:rPr>
      </w:pPr>
      <w:r>
        <w:rPr>
          <w:rFonts w:hint="eastAsia" w:cs="宋体" w:asciiTheme="minorEastAsia" w:hAnsiTheme="minorEastAsia" w:eastAsiaTheme="minorEastAsia"/>
          <w:color w:val="404040"/>
          <w:sz w:val="26"/>
          <w:szCs w:val="26"/>
        </w:rPr>
        <w:t>财务状况报告（最近一个年度经审计的财务报告或资信证明或投标担保函）；</w:t>
      </w:r>
    </w:p>
    <w:p w14:paraId="5AED2D32">
      <w:pPr>
        <w:numPr>
          <w:ilvl w:val="0"/>
          <w:numId w:val="2"/>
        </w:numPr>
        <w:adjustRightInd/>
        <w:snapToGrid/>
        <w:spacing w:before="150" w:after="0" w:line="480" w:lineRule="atLeast"/>
        <w:jc w:val="both"/>
        <w:rPr>
          <w:rFonts w:hint="eastAsia" w:cs="宋体" w:asciiTheme="minorEastAsia" w:hAnsiTheme="minorEastAsia" w:eastAsiaTheme="minorEastAsia"/>
          <w:color w:val="404040"/>
          <w:sz w:val="26"/>
          <w:szCs w:val="26"/>
        </w:rPr>
      </w:pPr>
      <w:r>
        <w:rPr>
          <w:rFonts w:hint="eastAsia" w:cs="宋体" w:asciiTheme="minorEastAsia" w:hAnsiTheme="minorEastAsia" w:eastAsiaTheme="minorEastAsia"/>
          <w:color w:val="404040"/>
          <w:sz w:val="26"/>
          <w:szCs w:val="26"/>
        </w:rPr>
        <w:t>参加本次活动前三年内，在经营活动中没有重大违法违规记录的承诺。</w:t>
      </w:r>
    </w:p>
    <w:p w14:paraId="6A970FD7">
      <w:pPr>
        <w:numPr>
          <w:ilvl w:val="0"/>
          <w:numId w:val="2"/>
        </w:numPr>
        <w:adjustRightInd/>
        <w:snapToGrid/>
        <w:spacing w:before="150" w:after="0" w:line="480" w:lineRule="atLeast"/>
        <w:jc w:val="both"/>
        <w:rPr>
          <w:rFonts w:hint="eastAsia" w:asciiTheme="minorEastAsia" w:hAnsiTheme="minorEastAsia" w:eastAsiaTheme="minorEastAsia"/>
        </w:rPr>
      </w:pPr>
      <w:r>
        <w:rPr>
          <w:rFonts w:hint="eastAsia" w:cs="宋体" w:asciiTheme="minorEastAsia" w:hAnsiTheme="minorEastAsia" w:eastAsiaTheme="minorEastAsia"/>
          <w:color w:val="404040"/>
          <w:sz w:val="26"/>
          <w:szCs w:val="26"/>
        </w:rPr>
        <w:t>具备履行合同所必需设备和专业技术能力的声明函；</w:t>
      </w:r>
    </w:p>
    <w:p w14:paraId="57EBACF5">
      <w:pPr>
        <w:numPr>
          <w:ilvl w:val="0"/>
          <w:numId w:val="2"/>
        </w:numPr>
        <w:adjustRightInd/>
        <w:snapToGrid/>
        <w:spacing w:before="150" w:after="0" w:line="480" w:lineRule="atLeast"/>
        <w:jc w:val="both"/>
        <w:rPr>
          <w:rFonts w:hint="eastAsia" w:cs="宋体" w:asciiTheme="minorEastAsia" w:hAnsiTheme="minorEastAsia" w:eastAsiaTheme="minorEastAsia"/>
          <w:color w:val="404040"/>
          <w:sz w:val="26"/>
          <w:szCs w:val="26"/>
        </w:rPr>
      </w:pPr>
      <w:r>
        <w:rPr>
          <w:rFonts w:hint="eastAsia" w:cs="宋体" w:asciiTheme="minorEastAsia" w:hAnsiTheme="minorEastAsia" w:eastAsiaTheme="minorEastAsia"/>
          <w:color w:val="404040"/>
          <w:sz w:val="26"/>
          <w:szCs w:val="26"/>
        </w:rPr>
        <w:t>资格审查采用方式：资格后审。</w:t>
      </w:r>
    </w:p>
    <w:p w14:paraId="07570C06">
      <w:pPr>
        <w:numPr>
          <w:ilvl w:val="0"/>
          <w:numId w:val="2"/>
        </w:numPr>
        <w:adjustRightInd/>
        <w:snapToGrid/>
        <w:spacing w:before="150" w:after="0" w:line="480" w:lineRule="atLeast"/>
        <w:jc w:val="both"/>
        <w:rPr>
          <w:rFonts w:hint="eastAsia" w:cs="宋体" w:asciiTheme="minorEastAsia" w:hAnsiTheme="minorEastAsia" w:eastAsiaTheme="minorEastAsia"/>
          <w:color w:val="404040"/>
          <w:sz w:val="26"/>
          <w:szCs w:val="26"/>
        </w:rPr>
      </w:pPr>
      <w:r>
        <w:rPr>
          <w:rFonts w:hint="eastAsia" w:cs="宋体" w:asciiTheme="minorEastAsia" w:hAnsiTheme="minorEastAsia" w:eastAsiaTheme="minorEastAsia"/>
          <w:color w:val="404040"/>
          <w:sz w:val="26"/>
          <w:szCs w:val="26"/>
        </w:rPr>
        <w:t>本招标项目不接受联合体投标，不接受备选投标方案，不允许分包。</w:t>
      </w:r>
    </w:p>
    <w:p w14:paraId="3174ED90">
      <w:pPr>
        <w:numPr>
          <w:ilvl w:val="0"/>
          <w:numId w:val="2"/>
        </w:numPr>
        <w:adjustRightInd/>
        <w:snapToGrid/>
        <w:spacing w:before="150" w:after="0" w:line="480" w:lineRule="atLeast"/>
        <w:jc w:val="both"/>
        <w:rPr>
          <w:rFonts w:hint="eastAsia" w:cs="宋体" w:asciiTheme="minorEastAsia" w:hAnsiTheme="minorEastAsia" w:eastAsiaTheme="minorEastAsia"/>
          <w:color w:val="404040"/>
          <w:sz w:val="26"/>
          <w:szCs w:val="26"/>
        </w:rPr>
      </w:pPr>
      <w:r>
        <w:rPr>
          <w:rFonts w:hint="eastAsia" w:cs="宋体" w:asciiTheme="minorEastAsia" w:hAnsiTheme="minorEastAsia" w:eastAsiaTheme="minorEastAsia"/>
          <w:color w:val="404040"/>
          <w:sz w:val="26"/>
          <w:szCs w:val="26"/>
        </w:rPr>
        <w:t>投标人应通过“信用中国（</w:t>
      </w:r>
      <w:r>
        <w:fldChar w:fldCharType="begin"/>
      </w:r>
      <w:r>
        <w:instrText xml:space="preserve"> HYPERLINK "http://www.creditchina.gov.cn/" </w:instrText>
      </w:r>
      <w:r>
        <w:fldChar w:fldCharType="separate"/>
      </w:r>
      <w:r>
        <w:rPr>
          <w:rStyle w:val="22"/>
          <w:rFonts w:hint="eastAsia" w:cs="宋体" w:asciiTheme="minorEastAsia" w:hAnsiTheme="minorEastAsia" w:eastAsiaTheme="minorEastAsia"/>
          <w:sz w:val="26"/>
          <w:szCs w:val="26"/>
        </w:rPr>
        <w:t>www.creditchina.gov.cn</w:t>
      </w:r>
      <w:r>
        <w:rPr>
          <w:rStyle w:val="22"/>
          <w:rFonts w:hint="eastAsia" w:cs="宋体" w:asciiTheme="minorEastAsia" w:hAnsiTheme="minorEastAsia" w:eastAsiaTheme="minorEastAsia"/>
          <w:sz w:val="26"/>
          <w:szCs w:val="26"/>
        </w:rPr>
        <w:fldChar w:fldCharType="end"/>
      </w:r>
      <w:r>
        <w:rPr>
          <w:rFonts w:hint="eastAsia" w:cs="宋体" w:asciiTheme="minorEastAsia" w:hAnsiTheme="minorEastAsia" w:eastAsiaTheme="minorEastAsia"/>
          <w:color w:val="404040"/>
          <w:sz w:val="26"/>
          <w:szCs w:val="26"/>
        </w:rPr>
        <w:t>)”、“中国政府采购网(</w:t>
      </w:r>
      <w:r>
        <w:fldChar w:fldCharType="begin"/>
      </w:r>
      <w:r>
        <w:instrText xml:space="preserve"> HYPERLINK "http://www.ccgp.gov.cn" </w:instrText>
      </w:r>
      <w:r>
        <w:fldChar w:fldCharType="separate"/>
      </w:r>
      <w:r>
        <w:rPr>
          <w:rStyle w:val="22"/>
          <w:rFonts w:hint="eastAsia" w:cs="宋体" w:asciiTheme="minorEastAsia" w:hAnsiTheme="minorEastAsia" w:eastAsiaTheme="minorEastAsia"/>
          <w:sz w:val="26"/>
          <w:szCs w:val="26"/>
        </w:rPr>
        <w:t>www.ccgp.gov.cn</w:t>
      </w:r>
      <w:r>
        <w:rPr>
          <w:rStyle w:val="22"/>
          <w:rFonts w:hint="eastAsia" w:cs="宋体" w:asciiTheme="minorEastAsia" w:hAnsiTheme="minorEastAsia" w:eastAsiaTheme="minorEastAsia"/>
          <w:sz w:val="26"/>
          <w:szCs w:val="26"/>
        </w:rPr>
        <w:fldChar w:fldCharType="end"/>
      </w:r>
      <w:r>
        <w:rPr>
          <w:rFonts w:hint="eastAsia" w:cs="宋体" w:asciiTheme="minorEastAsia" w:hAnsiTheme="minorEastAsia" w:eastAsiaTheme="minorEastAsia"/>
          <w:color w:val="404040"/>
          <w:sz w:val="26"/>
          <w:szCs w:val="26"/>
        </w:rPr>
        <w:t>)”查询并打印相应的信用记录。</w:t>
      </w:r>
    </w:p>
    <w:p w14:paraId="6DCA8DAB">
      <w:pPr>
        <w:numPr>
          <w:ilvl w:val="0"/>
          <w:numId w:val="2"/>
        </w:numPr>
        <w:adjustRightInd/>
        <w:snapToGrid/>
        <w:spacing w:before="150" w:after="0" w:line="480" w:lineRule="atLeast"/>
        <w:jc w:val="both"/>
        <w:rPr>
          <w:rFonts w:hint="eastAsia" w:cs="宋体" w:asciiTheme="minorEastAsia" w:hAnsiTheme="minorEastAsia" w:eastAsiaTheme="minorEastAsia"/>
          <w:color w:val="404040"/>
          <w:sz w:val="26"/>
          <w:szCs w:val="26"/>
        </w:rPr>
      </w:pPr>
      <w:r>
        <w:rPr>
          <w:rFonts w:hint="eastAsia" w:cs="宋体" w:asciiTheme="minorEastAsia" w:hAnsiTheme="minorEastAsia" w:eastAsiaTheme="minorEastAsia"/>
          <w:color w:val="404040"/>
          <w:sz w:val="26"/>
          <w:szCs w:val="26"/>
        </w:rPr>
        <w:t>投标人应对投标文件资料的真实性负责，招标人在授予合同之前有权对其投标文件资料进行核实，如发现所提交的资料不真实，招标人将视其为以弄虚作假方式骗取中标，其中标无效，若给招标人造成损失的，应依法承担赔偿责任，并列入医院供应商黑名单，院方有权在今后采购活动中拒绝接受其投标材料。</w:t>
      </w:r>
    </w:p>
    <w:p w14:paraId="0EA9C998">
      <w:pPr>
        <w:adjustRightInd/>
        <w:snapToGrid/>
        <w:spacing w:before="150" w:after="0" w:line="480" w:lineRule="atLeast"/>
        <w:ind w:firstLine="480"/>
        <w:jc w:val="both"/>
        <w:rPr>
          <w:rFonts w:hint="eastAsia" w:cs="宋体" w:asciiTheme="minorEastAsia" w:hAnsiTheme="minorEastAsia" w:eastAsiaTheme="minorEastAsia"/>
          <w:color w:val="404040"/>
          <w:sz w:val="26"/>
          <w:szCs w:val="26"/>
        </w:rPr>
      </w:pPr>
      <w:r>
        <w:rPr>
          <w:rFonts w:hint="eastAsia" w:cs="宋体" w:asciiTheme="minorEastAsia" w:hAnsiTheme="minorEastAsia" w:eastAsiaTheme="minorEastAsia"/>
          <w:color w:val="404040"/>
          <w:sz w:val="26"/>
          <w:szCs w:val="26"/>
        </w:rPr>
        <w:t>上述提供材料均须加盖公章。</w:t>
      </w:r>
    </w:p>
    <w:p w14:paraId="6F81DF73">
      <w:pPr>
        <w:adjustRightInd/>
        <w:snapToGrid/>
        <w:spacing w:before="150" w:after="0" w:line="480" w:lineRule="atLeast"/>
        <w:ind w:firstLine="520" w:firstLineChars="200"/>
        <w:jc w:val="both"/>
        <w:rPr>
          <w:rFonts w:hint="eastAsia" w:cs="宋体" w:asciiTheme="minorEastAsia" w:hAnsiTheme="minorEastAsia" w:eastAsiaTheme="minorEastAsia"/>
          <w:color w:val="404040"/>
          <w:sz w:val="26"/>
          <w:szCs w:val="26"/>
        </w:rPr>
      </w:pPr>
      <w:r>
        <w:rPr>
          <w:rFonts w:hint="eastAsia" w:cs="宋体" w:asciiTheme="minorEastAsia" w:hAnsiTheme="minorEastAsia" w:eastAsiaTheme="minorEastAsia"/>
          <w:color w:val="404040"/>
          <w:sz w:val="26"/>
          <w:szCs w:val="26"/>
        </w:rPr>
        <w:t>备注：本项目基本资格条件采取“信用承诺制”，投标人提供资格承诺函(格式详见附件)的即可参加采购活动，在投标文件中无需再提供财务状况报告、依法缴纳税收和社会保障资金的相关证明材料。投标人可自行选择是否提供资格承诺函，若不提供资格承诺函的，应按招标文件要求提供相应的证明材料。投标人应当遵循诚实信用原则，不得作虚假承诺，投标人承诺不实的，属于提供虚假材料谋取中标、成交，应依法承担相应的法律责任。</w:t>
      </w:r>
    </w:p>
    <w:p w14:paraId="22A7720F">
      <w:pPr>
        <w:adjustRightInd/>
        <w:snapToGrid/>
        <w:spacing w:before="150" w:after="0" w:line="480" w:lineRule="atLeast"/>
        <w:jc w:val="both"/>
        <w:rPr>
          <w:rFonts w:hint="eastAsia" w:cs="宋体" w:asciiTheme="minorEastAsia" w:hAnsiTheme="minorEastAsia" w:eastAsiaTheme="minorEastAsia"/>
          <w:color w:val="404040"/>
          <w:sz w:val="28"/>
          <w:szCs w:val="28"/>
        </w:rPr>
      </w:pPr>
      <w:r>
        <w:rPr>
          <w:rFonts w:hint="eastAsia" w:cs="宋体" w:asciiTheme="minorEastAsia" w:hAnsiTheme="minorEastAsia" w:eastAsiaTheme="minorEastAsia"/>
          <w:b/>
          <w:bCs/>
          <w:color w:val="404040"/>
          <w:sz w:val="26"/>
        </w:rPr>
        <w:t>三、招标文件的获取</w:t>
      </w:r>
    </w:p>
    <w:p w14:paraId="0CCF78E0">
      <w:pPr>
        <w:adjustRightInd/>
        <w:snapToGrid/>
        <w:spacing w:before="150" w:after="0" w:line="480" w:lineRule="atLeast"/>
        <w:jc w:val="both"/>
        <w:rPr>
          <w:rFonts w:hint="eastAsia" w:cs="宋体" w:asciiTheme="minorEastAsia" w:hAnsiTheme="minorEastAsia" w:eastAsiaTheme="minorEastAsia"/>
          <w:color w:val="404040"/>
          <w:sz w:val="28"/>
          <w:szCs w:val="28"/>
        </w:rPr>
      </w:pPr>
      <w:r>
        <w:rPr>
          <w:rFonts w:hint="eastAsia" w:cs="宋体" w:asciiTheme="minorEastAsia" w:hAnsiTheme="minorEastAsia" w:eastAsiaTheme="minorEastAsia"/>
          <w:color w:val="404040"/>
          <w:sz w:val="26"/>
          <w:szCs w:val="26"/>
        </w:rPr>
        <w:t>1、本招标项目不采用电子招投标。</w:t>
      </w:r>
    </w:p>
    <w:p w14:paraId="0E5CF189">
      <w:pPr>
        <w:adjustRightInd/>
        <w:snapToGrid/>
        <w:spacing w:before="150" w:after="0" w:line="480" w:lineRule="atLeast"/>
        <w:jc w:val="both"/>
        <w:rPr>
          <w:rFonts w:hint="eastAsia" w:cs="宋体" w:asciiTheme="minorEastAsia" w:hAnsiTheme="minorEastAsia" w:eastAsiaTheme="minorEastAsia"/>
          <w:color w:val="404040"/>
          <w:sz w:val="26"/>
          <w:szCs w:val="26"/>
        </w:rPr>
      </w:pPr>
      <w:r>
        <w:rPr>
          <w:rFonts w:hint="eastAsia" w:cs="宋体" w:asciiTheme="minorEastAsia" w:hAnsiTheme="minorEastAsia" w:eastAsiaTheme="minorEastAsia"/>
          <w:color w:val="404040"/>
          <w:sz w:val="26"/>
          <w:szCs w:val="26"/>
        </w:rPr>
        <w:t>2、凡有意参加投标者，均可在福建省肿瘤医院官网（</w:t>
      </w:r>
      <w:r>
        <w:rPr>
          <w:rFonts w:cs="宋体" w:asciiTheme="minorEastAsia" w:hAnsiTheme="minorEastAsia" w:eastAsiaTheme="minorEastAsia"/>
          <w:color w:val="404040"/>
          <w:sz w:val="26"/>
          <w:szCs w:val="26"/>
        </w:rPr>
        <w:t>https://www.fjzl.com.cn</w:t>
      </w:r>
      <w:r>
        <w:rPr>
          <w:rFonts w:hint="eastAsia" w:cs="宋体" w:asciiTheme="minorEastAsia" w:hAnsiTheme="minorEastAsia" w:eastAsiaTheme="minorEastAsia"/>
          <w:color w:val="404040"/>
          <w:sz w:val="26"/>
          <w:szCs w:val="26"/>
        </w:rPr>
        <w:t>）下载与本项目相关的招标信息（包括招标文件、招标文件补充说明等），并于2024年</w:t>
      </w:r>
      <w:r>
        <w:rPr>
          <w:rFonts w:hint="eastAsia" w:cs="宋体" w:asciiTheme="minorEastAsia" w:hAnsiTheme="minorEastAsia" w:eastAsiaTheme="minorEastAsia"/>
          <w:color w:val="404040"/>
          <w:sz w:val="26"/>
          <w:szCs w:val="26"/>
          <w:lang w:val="en-US" w:eastAsia="zh-CN"/>
        </w:rPr>
        <w:t>11</w:t>
      </w:r>
      <w:r>
        <w:rPr>
          <w:rFonts w:hint="eastAsia" w:cs="宋体" w:asciiTheme="minorEastAsia" w:hAnsiTheme="minorEastAsia" w:eastAsiaTheme="minorEastAsia"/>
          <w:color w:val="404040"/>
          <w:sz w:val="26"/>
          <w:szCs w:val="26"/>
        </w:rPr>
        <w:t>月2</w:t>
      </w:r>
      <w:r>
        <w:rPr>
          <w:rFonts w:hint="eastAsia" w:cs="宋体" w:asciiTheme="minorEastAsia" w:hAnsiTheme="minorEastAsia" w:eastAsiaTheme="minorEastAsia"/>
          <w:color w:val="404040"/>
          <w:sz w:val="26"/>
          <w:szCs w:val="26"/>
          <w:lang w:val="en-US" w:eastAsia="zh-CN"/>
        </w:rPr>
        <w:t>6</w:t>
      </w:r>
      <w:r>
        <w:rPr>
          <w:rFonts w:hint="eastAsia" w:cs="宋体" w:asciiTheme="minorEastAsia" w:hAnsiTheme="minorEastAsia" w:eastAsiaTheme="minorEastAsia"/>
          <w:color w:val="404040"/>
          <w:sz w:val="26"/>
          <w:szCs w:val="26"/>
        </w:rPr>
        <w:t>日至2024年</w:t>
      </w:r>
      <w:r>
        <w:rPr>
          <w:rFonts w:hint="eastAsia" w:cs="宋体" w:asciiTheme="minorEastAsia" w:hAnsiTheme="minorEastAsia" w:eastAsiaTheme="minorEastAsia"/>
          <w:color w:val="404040"/>
          <w:sz w:val="26"/>
          <w:szCs w:val="26"/>
          <w:lang w:val="en-US" w:eastAsia="zh-CN"/>
        </w:rPr>
        <w:t>12</w:t>
      </w:r>
      <w:r>
        <w:rPr>
          <w:rFonts w:hint="eastAsia" w:cs="宋体" w:asciiTheme="minorEastAsia" w:hAnsiTheme="minorEastAsia" w:eastAsiaTheme="minorEastAsia"/>
          <w:color w:val="404040"/>
          <w:sz w:val="26"/>
          <w:szCs w:val="26"/>
        </w:rPr>
        <w:t>月2 日(节假日除外)8：00-12：00或14：</w:t>
      </w:r>
      <w:r>
        <w:rPr>
          <w:rFonts w:hint="eastAsia" w:cs="宋体" w:asciiTheme="minorEastAsia" w:hAnsiTheme="minorEastAsia" w:eastAsiaTheme="minorEastAsia"/>
          <w:color w:val="404040"/>
          <w:sz w:val="26"/>
          <w:szCs w:val="26"/>
          <w:lang w:val="en-US" w:eastAsia="zh-CN"/>
        </w:rPr>
        <w:t>0</w:t>
      </w:r>
      <w:r>
        <w:rPr>
          <w:rFonts w:hint="eastAsia" w:cs="宋体" w:asciiTheme="minorEastAsia" w:hAnsiTheme="minorEastAsia" w:eastAsiaTheme="minorEastAsia"/>
          <w:color w:val="404040"/>
          <w:sz w:val="26"/>
          <w:szCs w:val="26"/>
        </w:rPr>
        <w:t>0-17：</w:t>
      </w:r>
      <w:r>
        <w:rPr>
          <w:rFonts w:hint="eastAsia" w:cs="宋体" w:asciiTheme="minorEastAsia" w:hAnsiTheme="minorEastAsia" w:eastAsiaTheme="minorEastAsia"/>
          <w:color w:val="404040"/>
          <w:sz w:val="26"/>
          <w:szCs w:val="26"/>
          <w:lang w:val="en-US" w:eastAsia="zh-CN"/>
        </w:rPr>
        <w:t>0</w:t>
      </w:r>
      <w:r>
        <w:rPr>
          <w:rFonts w:hint="eastAsia" w:cs="宋体" w:asciiTheme="minorEastAsia" w:hAnsiTheme="minorEastAsia" w:eastAsiaTheme="minorEastAsia"/>
          <w:color w:val="404040"/>
          <w:sz w:val="26"/>
          <w:szCs w:val="26"/>
        </w:rPr>
        <w:t>0，携带加盖公章的营业执照复印件、介绍信前往福建省肿瘤医院总务科报名。</w:t>
      </w:r>
    </w:p>
    <w:p w14:paraId="1EAAC52D">
      <w:pPr>
        <w:adjustRightInd/>
        <w:snapToGrid/>
        <w:spacing w:before="150" w:after="0" w:line="480" w:lineRule="atLeast"/>
        <w:jc w:val="both"/>
        <w:rPr>
          <w:rFonts w:hint="eastAsia" w:cs="宋体" w:asciiTheme="minorEastAsia" w:hAnsiTheme="minorEastAsia" w:eastAsiaTheme="minorEastAsia"/>
          <w:color w:val="404040"/>
          <w:sz w:val="28"/>
          <w:szCs w:val="28"/>
        </w:rPr>
      </w:pPr>
      <w:r>
        <w:rPr>
          <w:rFonts w:hint="eastAsia" w:cs="宋体" w:asciiTheme="minorEastAsia" w:hAnsiTheme="minorEastAsia" w:eastAsiaTheme="minorEastAsia"/>
          <w:color w:val="404040"/>
          <w:sz w:val="26"/>
          <w:szCs w:val="26"/>
        </w:rPr>
        <w:t>项目联系人：陈女士      联系电话：0591-62752801</w:t>
      </w:r>
    </w:p>
    <w:p w14:paraId="185B0FDD">
      <w:pPr>
        <w:adjustRightInd/>
        <w:snapToGrid/>
        <w:spacing w:before="150" w:after="0" w:line="480" w:lineRule="atLeast"/>
        <w:jc w:val="both"/>
        <w:rPr>
          <w:rFonts w:hint="eastAsia" w:cs="宋体" w:asciiTheme="minorEastAsia" w:hAnsiTheme="minorEastAsia" w:eastAsiaTheme="minorEastAsia"/>
          <w:color w:val="404040"/>
          <w:sz w:val="28"/>
          <w:szCs w:val="28"/>
        </w:rPr>
      </w:pPr>
      <w:r>
        <w:rPr>
          <w:rFonts w:hint="eastAsia" w:cs="宋体" w:asciiTheme="minorEastAsia" w:hAnsiTheme="minorEastAsia" w:eastAsiaTheme="minorEastAsia"/>
          <w:b/>
          <w:bCs/>
          <w:color w:val="404040"/>
          <w:sz w:val="26"/>
        </w:rPr>
        <w:t>四、答疑截止时间</w:t>
      </w:r>
    </w:p>
    <w:p w14:paraId="787C53D2">
      <w:pPr>
        <w:adjustRightInd/>
        <w:snapToGrid/>
        <w:spacing w:before="150" w:after="0" w:line="480" w:lineRule="atLeast"/>
        <w:ind w:firstLine="480"/>
        <w:jc w:val="both"/>
        <w:rPr>
          <w:rFonts w:hint="eastAsia" w:cs="宋体" w:asciiTheme="minorEastAsia" w:hAnsiTheme="minorEastAsia" w:eastAsiaTheme="minorEastAsia"/>
          <w:color w:val="404040"/>
          <w:sz w:val="28"/>
          <w:szCs w:val="28"/>
        </w:rPr>
      </w:pPr>
      <w:r>
        <w:rPr>
          <w:rFonts w:hint="eastAsia" w:cs="宋体" w:asciiTheme="minorEastAsia" w:hAnsiTheme="minorEastAsia" w:eastAsiaTheme="minorEastAsia"/>
          <w:color w:val="404040"/>
          <w:sz w:val="26"/>
          <w:szCs w:val="26"/>
        </w:rPr>
        <w:t>投标人若要求澄清招标文件，应在获取招标文件截止时间后的2个工作日内提出，招标人将随时解答。</w:t>
      </w:r>
    </w:p>
    <w:p w14:paraId="54A88484">
      <w:pPr>
        <w:adjustRightInd/>
        <w:snapToGrid/>
        <w:spacing w:before="150" w:after="0" w:line="480" w:lineRule="atLeast"/>
        <w:jc w:val="both"/>
        <w:rPr>
          <w:rFonts w:hint="eastAsia" w:cs="宋体" w:asciiTheme="minorEastAsia" w:hAnsiTheme="minorEastAsia" w:eastAsiaTheme="minorEastAsia"/>
          <w:color w:val="404040"/>
          <w:sz w:val="28"/>
          <w:szCs w:val="28"/>
        </w:rPr>
      </w:pPr>
      <w:r>
        <w:rPr>
          <w:rFonts w:hint="eastAsia" w:cs="宋体" w:asciiTheme="minorEastAsia" w:hAnsiTheme="minorEastAsia" w:eastAsiaTheme="minorEastAsia"/>
          <w:b/>
          <w:bCs/>
          <w:color w:val="404040"/>
          <w:sz w:val="26"/>
        </w:rPr>
        <w:t>五、投标文件的要求及递交</w:t>
      </w:r>
    </w:p>
    <w:p w14:paraId="5FF0A513">
      <w:pPr>
        <w:adjustRightInd/>
        <w:snapToGrid/>
        <w:spacing w:before="150" w:after="0" w:line="480" w:lineRule="atLeast"/>
        <w:ind w:firstLine="480"/>
        <w:jc w:val="both"/>
        <w:rPr>
          <w:rFonts w:hint="eastAsia" w:cs="宋体" w:asciiTheme="minorEastAsia" w:hAnsiTheme="minorEastAsia" w:eastAsiaTheme="minorEastAsia"/>
          <w:color w:val="404040"/>
          <w:sz w:val="26"/>
          <w:szCs w:val="26"/>
        </w:rPr>
      </w:pPr>
      <w:r>
        <w:rPr>
          <w:rFonts w:hint="eastAsia" w:cs="宋体" w:asciiTheme="minorEastAsia" w:hAnsiTheme="minorEastAsia" w:eastAsiaTheme="minorEastAsia"/>
          <w:color w:val="404040"/>
          <w:sz w:val="26"/>
          <w:szCs w:val="26"/>
        </w:rPr>
        <w:t>1、投标文件正本</w:t>
      </w:r>
      <w:r>
        <w:rPr>
          <w:rFonts w:hint="eastAsia" w:cs="宋体" w:asciiTheme="minorEastAsia" w:hAnsiTheme="minorEastAsia" w:eastAsiaTheme="minorEastAsia"/>
          <w:bCs/>
          <w:color w:val="404040"/>
          <w:sz w:val="26"/>
          <w:szCs w:val="26"/>
          <w:u w:val="single"/>
        </w:rPr>
        <w:t>壹</w:t>
      </w:r>
      <w:r>
        <w:rPr>
          <w:rFonts w:hint="eastAsia" w:cs="宋体" w:asciiTheme="minorEastAsia" w:hAnsiTheme="minorEastAsia" w:eastAsiaTheme="minorEastAsia"/>
          <w:color w:val="404040"/>
          <w:sz w:val="26"/>
          <w:szCs w:val="26"/>
        </w:rPr>
        <w:t>份</w:t>
      </w:r>
      <w:r>
        <w:rPr>
          <w:rFonts w:cs="宋体" w:asciiTheme="minorEastAsia" w:hAnsiTheme="minorEastAsia" w:eastAsiaTheme="minorEastAsia"/>
          <w:color w:val="404040"/>
          <w:sz w:val="26"/>
          <w:szCs w:val="26"/>
        </w:rPr>
        <w:t>,</w:t>
      </w:r>
      <w:r>
        <w:rPr>
          <w:rFonts w:hint="eastAsia" w:cs="宋体" w:asciiTheme="minorEastAsia" w:hAnsiTheme="minorEastAsia" w:eastAsiaTheme="minorEastAsia"/>
          <w:color w:val="404040"/>
          <w:sz w:val="26"/>
          <w:szCs w:val="26"/>
        </w:rPr>
        <w:t>副本</w:t>
      </w:r>
      <w:r>
        <w:rPr>
          <w:rFonts w:hint="eastAsia" w:cs="宋体" w:asciiTheme="minorEastAsia" w:hAnsiTheme="minorEastAsia" w:eastAsiaTheme="minorEastAsia"/>
          <w:bCs/>
          <w:color w:val="404040"/>
          <w:sz w:val="26"/>
          <w:szCs w:val="26"/>
          <w:u w:val="single"/>
        </w:rPr>
        <w:t>壹</w:t>
      </w:r>
      <w:r>
        <w:rPr>
          <w:rFonts w:hint="eastAsia" w:cs="宋体" w:asciiTheme="minorEastAsia" w:hAnsiTheme="minorEastAsia" w:eastAsiaTheme="minorEastAsia"/>
          <w:color w:val="404040"/>
          <w:sz w:val="26"/>
          <w:szCs w:val="26"/>
        </w:rPr>
        <w:t>份胶装并密封加盖投标人公章。投标文件未胶装密封将导致其投标文件被拒绝。</w:t>
      </w:r>
    </w:p>
    <w:p w14:paraId="2DF9C409">
      <w:pPr>
        <w:adjustRightInd/>
        <w:snapToGrid/>
        <w:spacing w:before="150" w:after="0" w:line="480" w:lineRule="atLeast"/>
        <w:ind w:firstLine="480"/>
        <w:jc w:val="both"/>
        <w:rPr>
          <w:rFonts w:hint="eastAsia" w:cs="宋体" w:asciiTheme="minorEastAsia" w:hAnsiTheme="minorEastAsia" w:eastAsiaTheme="minorEastAsia"/>
          <w:color w:val="404040"/>
          <w:sz w:val="26"/>
          <w:szCs w:val="26"/>
        </w:rPr>
      </w:pPr>
      <w:r>
        <w:rPr>
          <w:rFonts w:hint="eastAsia" w:cs="宋体" w:asciiTheme="minorEastAsia" w:hAnsiTheme="minorEastAsia" w:eastAsiaTheme="minorEastAsia"/>
          <w:color w:val="404040"/>
          <w:sz w:val="26"/>
          <w:szCs w:val="26"/>
        </w:rPr>
        <w:t>2、投标文件递交的截止时间：2024年</w:t>
      </w:r>
      <w:r>
        <w:rPr>
          <w:rFonts w:hint="eastAsia" w:cs="宋体" w:asciiTheme="minorEastAsia" w:hAnsiTheme="minorEastAsia" w:eastAsiaTheme="minorEastAsia"/>
          <w:color w:val="404040"/>
          <w:sz w:val="26"/>
          <w:szCs w:val="26"/>
          <w:lang w:val="en-US" w:eastAsia="zh-CN"/>
        </w:rPr>
        <w:t>12</w:t>
      </w:r>
      <w:r>
        <w:rPr>
          <w:rFonts w:hint="eastAsia" w:cs="宋体" w:asciiTheme="minorEastAsia" w:hAnsiTheme="minorEastAsia" w:eastAsiaTheme="minorEastAsia"/>
          <w:color w:val="404040"/>
          <w:sz w:val="26"/>
          <w:szCs w:val="26"/>
        </w:rPr>
        <w:t>月</w:t>
      </w:r>
      <w:r>
        <w:rPr>
          <w:rFonts w:hint="eastAsia" w:cs="宋体" w:asciiTheme="minorEastAsia" w:hAnsiTheme="minorEastAsia" w:eastAsiaTheme="minorEastAsia"/>
          <w:color w:val="404040"/>
          <w:sz w:val="26"/>
          <w:szCs w:val="26"/>
          <w:lang w:val="en-US" w:eastAsia="zh-CN"/>
        </w:rPr>
        <w:t>3</w:t>
      </w:r>
      <w:r>
        <w:rPr>
          <w:rFonts w:hint="eastAsia" w:cs="宋体" w:asciiTheme="minorEastAsia" w:hAnsiTheme="minorEastAsia" w:eastAsiaTheme="minorEastAsia"/>
          <w:color w:val="404040"/>
          <w:sz w:val="26"/>
          <w:szCs w:val="26"/>
        </w:rPr>
        <w:t>日</w:t>
      </w:r>
      <w:r>
        <w:rPr>
          <w:rFonts w:hint="eastAsia" w:cs="宋体" w:asciiTheme="minorEastAsia" w:hAnsiTheme="minorEastAsia" w:eastAsiaTheme="minorEastAsia"/>
          <w:color w:val="404040"/>
          <w:sz w:val="26"/>
          <w:szCs w:val="26"/>
          <w:lang w:val="en-US" w:eastAsia="zh-CN"/>
        </w:rPr>
        <w:t>09</w:t>
      </w:r>
      <w:r>
        <w:rPr>
          <w:rFonts w:hint="eastAsia" w:cs="宋体" w:asciiTheme="minorEastAsia" w:hAnsiTheme="minorEastAsia" w:eastAsiaTheme="minorEastAsia"/>
          <w:color w:val="404040"/>
          <w:sz w:val="26"/>
          <w:szCs w:val="26"/>
        </w:rPr>
        <w:t>:</w:t>
      </w:r>
      <w:r>
        <w:rPr>
          <w:rFonts w:hint="eastAsia" w:cs="宋体" w:asciiTheme="minorEastAsia" w:hAnsiTheme="minorEastAsia" w:eastAsiaTheme="minorEastAsia"/>
          <w:color w:val="404040"/>
          <w:sz w:val="26"/>
          <w:szCs w:val="26"/>
          <w:lang w:val="en-US" w:eastAsia="zh-CN"/>
        </w:rPr>
        <w:t>00</w:t>
      </w:r>
      <w:r>
        <w:rPr>
          <w:rFonts w:hint="eastAsia" w:cs="宋体" w:asciiTheme="minorEastAsia" w:hAnsiTheme="minorEastAsia" w:eastAsiaTheme="minorEastAsia"/>
          <w:color w:val="404040"/>
          <w:sz w:val="26"/>
          <w:szCs w:val="26"/>
        </w:rPr>
        <w:t>，提交地点为福建省肿瘤医院总务科，未送达指定地点或逾期送达者拒收。</w:t>
      </w:r>
    </w:p>
    <w:p w14:paraId="61E269F4">
      <w:pPr>
        <w:adjustRightInd/>
        <w:snapToGrid/>
        <w:spacing w:before="150" w:after="0" w:line="480" w:lineRule="atLeast"/>
        <w:jc w:val="both"/>
        <w:rPr>
          <w:rFonts w:hint="eastAsia" w:cs="宋体" w:asciiTheme="minorEastAsia" w:hAnsiTheme="minorEastAsia" w:eastAsiaTheme="minorEastAsia"/>
          <w:b/>
          <w:bCs/>
          <w:color w:val="404040"/>
          <w:sz w:val="26"/>
        </w:rPr>
      </w:pPr>
      <w:r>
        <w:rPr>
          <w:rFonts w:hint="eastAsia" w:cs="宋体" w:asciiTheme="minorEastAsia" w:hAnsiTheme="minorEastAsia" w:eastAsiaTheme="minorEastAsia"/>
          <w:b/>
          <w:bCs/>
          <w:color w:val="404040"/>
          <w:sz w:val="26"/>
        </w:rPr>
        <w:t>六、开标评标时间地点</w:t>
      </w:r>
    </w:p>
    <w:p w14:paraId="4607A9EE">
      <w:pPr>
        <w:adjustRightInd/>
        <w:snapToGrid/>
        <w:spacing w:before="150" w:after="0" w:line="480" w:lineRule="atLeast"/>
        <w:ind w:firstLine="390" w:firstLineChars="150"/>
        <w:jc w:val="both"/>
        <w:rPr>
          <w:rFonts w:hint="eastAsia" w:cs="宋体" w:asciiTheme="minorEastAsia" w:hAnsiTheme="minorEastAsia" w:eastAsiaTheme="minorEastAsia"/>
          <w:color w:val="404040"/>
          <w:sz w:val="26"/>
          <w:szCs w:val="26"/>
        </w:rPr>
      </w:pPr>
      <w:r>
        <w:rPr>
          <w:rFonts w:hint="eastAsia" w:cs="宋体" w:asciiTheme="minorEastAsia" w:hAnsiTheme="minorEastAsia" w:eastAsiaTheme="minorEastAsia"/>
          <w:color w:val="404040"/>
          <w:sz w:val="26"/>
          <w:szCs w:val="26"/>
        </w:rPr>
        <w:t>1、开标时间：2024年</w:t>
      </w:r>
      <w:r>
        <w:rPr>
          <w:rFonts w:hint="eastAsia" w:cs="宋体" w:asciiTheme="minorEastAsia" w:hAnsiTheme="minorEastAsia" w:eastAsiaTheme="minorEastAsia"/>
          <w:color w:val="404040"/>
          <w:sz w:val="26"/>
          <w:szCs w:val="26"/>
          <w:lang w:val="en-US" w:eastAsia="zh-CN"/>
        </w:rPr>
        <w:t>12</w:t>
      </w:r>
      <w:r>
        <w:rPr>
          <w:rFonts w:hint="eastAsia" w:cs="宋体" w:asciiTheme="minorEastAsia" w:hAnsiTheme="minorEastAsia" w:eastAsiaTheme="minorEastAsia"/>
          <w:color w:val="404040"/>
          <w:sz w:val="26"/>
          <w:szCs w:val="26"/>
        </w:rPr>
        <w:t>月</w:t>
      </w:r>
      <w:r>
        <w:rPr>
          <w:rFonts w:hint="eastAsia" w:cs="宋体" w:asciiTheme="minorEastAsia" w:hAnsiTheme="minorEastAsia" w:eastAsiaTheme="minorEastAsia"/>
          <w:color w:val="404040"/>
          <w:sz w:val="26"/>
          <w:szCs w:val="26"/>
          <w:lang w:val="en-US" w:eastAsia="zh-CN"/>
        </w:rPr>
        <w:t>3</w:t>
      </w:r>
      <w:r>
        <w:rPr>
          <w:rFonts w:hint="eastAsia" w:cs="宋体" w:asciiTheme="minorEastAsia" w:hAnsiTheme="minorEastAsia" w:eastAsiaTheme="minorEastAsia"/>
          <w:color w:val="404040"/>
          <w:sz w:val="26"/>
          <w:szCs w:val="26"/>
        </w:rPr>
        <w:t>日</w:t>
      </w:r>
      <w:r>
        <w:rPr>
          <w:rFonts w:hint="eastAsia" w:cs="宋体" w:asciiTheme="minorEastAsia" w:hAnsiTheme="minorEastAsia" w:eastAsiaTheme="minorEastAsia"/>
          <w:color w:val="404040"/>
          <w:sz w:val="26"/>
          <w:szCs w:val="26"/>
          <w:lang w:val="en-US" w:eastAsia="zh-CN"/>
        </w:rPr>
        <w:t>09</w:t>
      </w:r>
      <w:r>
        <w:rPr>
          <w:rFonts w:hint="eastAsia" w:cs="宋体" w:asciiTheme="minorEastAsia" w:hAnsiTheme="minorEastAsia" w:eastAsiaTheme="minorEastAsia"/>
          <w:color w:val="404040"/>
          <w:sz w:val="26"/>
          <w:szCs w:val="26"/>
        </w:rPr>
        <w:t>:</w:t>
      </w:r>
      <w:r>
        <w:rPr>
          <w:rFonts w:hint="eastAsia" w:cs="宋体" w:asciiTheme="minorEastAsia" w:hAnsiTheme="minorEastAsia" w:eastAsiaTheme="minorEastAsia"/>
          <w:color w:val="404040"/>
          <w:sz w:val="26"/>
          <w:szCs w:val="26"/>
          <w:lang w:val="en-US" w:eastAsia="zh-CN"/>
        </w:rPr>
        <w:t>0</w:t>
      </w:r>
      <w:r>
        <w:rPr>
          <w:rFonts w:hint="eastAsia" w:cs="宋体" w:asciiTheme="minorEastAsia" w:hAnsiTheme="minorEastAsia" w:eastAsiaTheme="minorEastAsia"/>
          <w:color w:val="404040"/>
          <w:sz w:val="26"/>
          <w:szCs w:val="26"/>
        </w:rPr>
        <w:t>0时</w:t>
      </w:r>
    </w:p>
    <w:p w14:paraId="2F0EE5B4">
      <w:pPr>
        <w:adjustRightInd/>
        <w:snapToGrid/>
        <w:spacing w:before="150" w:after="0" w:line="480" w:lineRule="atLeast"/>
        <w:ind w:firstLine="480"/>
        <w:jc w:val="both"/>
        <w:rPr>
          <w:rFonts w:hint="eastAsia" w:cs="宋体" w:asciiTheme="minorEastAsia" w:hAnsiTheme="minorEastAsia" w:eastAsiaTheme="minorEastAsia"/>
          <w:color w:val="404040"/>
          <w:sz w:val="28"/>
          <w:szCs w:val="28"/>
        </w:rPr>
      </w:pPr>
      <w:r>
        <w:rPr>
          <w:rFonts w:hint="eastAsia" w:cs="宋体" w:asciiTheme="minorEastAsia" w:hAnsiTheme="minorEastAsia" w:eastAsiaTheme="minorEastAsia"/>
          <w:color w:val="404040"/>
          <w:sz w:val="26"/>
          <w:szCs w:val="26"/>
        </w:rPr>
        <w:t>2、评标时间：开标后即开始评标。</w:t>
      </w:r>
    </w:p>
    <w:p w14:paraId="698F06DA">
      <w:pPr>
        <w:adjustRightInd/>
        <w:snapToGrid/>
        <w:spacing w:before="150" w:after="0" w:line="480" w:lineRule="atLeast"/>
        <w:ind w:firstLine="520" w:firstLineChars="200"/>
        <w:jc w:val="both"/>
        <w:rPr>
          <w:rFonts w:hint="eastAsia" w:cs="宋体" w:asciiTheme="minorEastAsia" w:hAnsiTheme="minorEastAsia" w:eastAsiaTheme="minorEastAsia"/>
          <w:color w:val="404040"/>
          <w:sz w:val="26"/>
          <w:szCs w:val="26"/>
        </w:rPr>
      </w:pPr>
      <w:r>
        <w:rPr>
          <w:rFonts w:hint="eastAsia" w:cs="宋体" w:asciiTheme="minorEastAsia" w:hAnsiTheme="minorEastAsia" w:eastAsiaTheme="minorEastAsia"/>
          <w:color w:val="404040"/>
          <w:sz w:val="26"/>
          <w:szCs w:val="26"/>
        </w:rPr>
        <w:t>3、地点：福建省肿瘤医院科研楼一楼总务科</w:t>
      </w:r>
    </w:p>
    <w:p w14:paraId="2F06B895">
      <w:pPr>
        <w:adjustRightInd/>
        <w:snapToGrid/>
        <w:spacing w:before="150" w:after="0" w:line="480" w:lineRule="atLeast"/>
        <w:ind w:firstLine="480"/>
        <w:jc w:val="both"/>
        <w:rPr>
          <w:rFonts w:hint="eastAsia" w:cs="宋体" w:asciiTheme="minorEastAsia" w:hAnsiTheme="minorEastAsia" w:eastAsiaTheme="minorEastAsia"/>
          <w:color w:val="404040"/>
          <w:sz w:val="26"/>
          <w:szCs w:val="26"/>
        </w:rPr>
      </w:pPr>
      <w:r>
        <w:rPr>
          <w:rFonts w:hint="eastAsia" w:cs="宋体" w:asciiTheme="minorEastAsia" w:hAnsiTheme="minorEastAsia" w:eastAsiaTheme="minorEastAsia"/>
          <w:color w:val="404040"/>
          <w:sz w:val="26"/>
          <w:szCs w:val="26"/>
        </w:rPr>
        <w:t>备注：</w:t>
      </w:r>
    </w:p>
    <w:p w14:paraId="2FE3E85F">
      <w:pPr>
        <w:spacing w:before="150" w:line="560" w:lineRule="exact"/>
        <w:ind w:firstLine="520" w:firstLineChars="200"/>
        <w:rPr>
          <w:rFonts w:hint="eastAsia" w:cs="宋体" w:asciiTheme="minorEastAsia" w:hAnsiTheme="minorEastAsia" w:eastAsiaTheme="minorEastAsia"/>
          <w:color w:val="404040"/>
          <w:sz w:val="26"/>
          <w:szCs w:val="26"/>
        </w:rPr>
      </w:pPr>
      <w:r>
        <w:rPr>
          <w:rFonts w:hint="eastAsia" w:cs="宋体" w:asciiTheme="minorEastAsia" w:hAnsiTheme="minorEastAsia" w:eastAsiaTheme="minorEastAsia"/>
          <w:color w:val="404040"/>
          <w:sz w:val="26"/>
          <w:szCs w:val="26"/>
        </w:rPr>
        <w:t>1. 未参加报名的潜在投标人，其投标文件将被拒绝。</w:t>
      </w:r>
    </w:p>
    <w:p w14:paraId="55565FD9">
      <w:pPr>
        <w:spacing w:before="150" w:line="560" w:lineRule="exact"/>
        <w:ind w:firstLine="520" w:firstLineChars="200"/>
        <w:rPr>
          <w:rFonts w:hint="eastAsia" w:cs="宋体" w:asciiTheme="minorEastAsia" w:hAnsiTheme="minorEastAsia" w:eastAsiaTheme="minorEastAsia"/>
          <w:color w:val="404040"/>
          <w:sz w:val="26"/>
          <w:szCs w:val="26"/>
        </w:rPr>
      </w:pPr>
      <w:r>
        <w:rPr>
          <w:rFonts w:hint="eastAsia" w:cs="宋体" w:asciiTheme="minorEastAsia" w:hAnsiTheme="minorEastAsia" w:eastAsiaTheme="minorEastAsia"/>
          <w:color w:val="404040"/>
          <w:sz w:val="26"/>
          <w:szCs w:val="26"/>
        </w:rPr>
        <w:t>2.若有涉及招标文件内容更正，请各潜在投标人密切关注福建省肿瘤医院官网通知，以最新公告为准。</w:t>
      </w:r>
      <w:bookmarkStart w:id="36" w:name="_GoBack"/>
      <w:bookmarkEnd w:id="36"/>
    </w:p>
    <w:p w14:paraId="6DA7F1C7">
      <w:pPr>
        <w:adjustRightInd/>
        <w:snapToGrid/>
        <w:spacing w:before="150" w:after="0" w:line="480" w:lineRule="atLeast"/>
        <w:jc w:val="both"/>
        <w:rPr>
          <w:rFonts w:hint="eastAsia" w:cs="宋体" w:asciiTheme="minorEastAsia" w:hAnsiTheme="minorEastAsia" w:eastAsiaTheme="minorEastAsia"/>
          <w:color w:val="404040"/>
          <w:sz w:val="28"/>
          <w:szCs w:val="28"/>
        </w:rPr>
      </w:pPr>
      <w:r>
        <w:rPr>
          <w:rFonts w:hint="eastAsia" w:cs="宋体" w:asciiTheme="minorEastAsia" w:hAnsiTheme="minorEastAsia" w:eastAsiaTheme="minorEastAsia"/>
          <w:b/>
          <w:bCs/>
          <w:color w:val="404040"/>
          <w:sz w:val="26"/>
        </w:rPr>
        <w:t>八、评标原则及办法</w:t>
      </w:r>
    </w:p>
    <w:p w14:paraId="5EF35959">
      <w:pPr>
        <w:adjustRightInd/>
        <w:snapToGrid/>
        <w:spacing w:before="150" w:after="0" w:line="480" w:lineRule="atLeast"/>
        <w:ind w:firstLine="480"/>
        <w:jc w:val="both"/>
        <w:rPr>
          <w:rFonts w:hint="eastAsia" w:cs="宋体" w:asciiTheme="minorEastAsia" w:hAnsiTheme="minorEastAsia" w:eastAsiaTheme="minorEastAsia"/>
          <w:color w:val="404040"/>
          <w:sz w:val="28"/>
          <w:szCs w:val="28"/>
        </w:rPr>
      </w:pPr>
      <w:r>
        <w:rPr>
          <w:rFonts w:hint="eastAsia" w:cs="宋体" w:asciiTheme="minorEastAsia" w:hAnsiTheme="minorEastAsia" w:eastAsiaTheme="minorEastAsia"/>
          <w:color w:val="404040"/>
          <w:sz w:val="26"/>
          <w:szCs w:val="26"/>
        </w:rPr>
        <w:t>1、评标活动遵循公平、公正、科学和择优的原则。</w:t>
      </w:r>
    </w:p>
    <w:p w14:paraId="38B7A77D">
      <w:pPr>
        <w:adjustRightInd/>
        <w:snapToGrid/>
        <w:spacing w:before="150" w:after="0" w:line="480" w:lineRule="atLeast"/>
        <w:ind w:firstLine="480"/>
        <w:jc w:val="both"/>
        <w:rPr>
          <w:rFonts w:hint="eastAsia" w:cs="宋体" w:asciiTheme="minorEastAsia" w:hAnsiTheme="minorEastAsia" w:eastAsiaTheme="minorEastAsia"/>
          <w:color w:val="404040"/>
          <w:sz w:val="26"/>
          <w:szCs w:val="26"/>
        </w:rPr>
      </w:pPr>
      <w:r>
        <w:rPr>
          <w:rFonts w:hint="eastAsia" w:cs="宋体" w:asciiTheme="minorEastAsia" w:hAnsiTheme="minorEastAsia" w:eastAsiaTheme="minorEastAsia"/>
          <w:color w:val="404040"/>
          <w:sz w:val="26"/>
          <w:szCs w:val="26"/>
        </w:rPr>
        <w:t>2、评标方法：</w:t>
      </w:r>
      <w:r>
        <w:rPr>
          <w:rFonts w:hint="eastAsia" w:cs="宋体" w:asciiTheme="minorEastAsia" w:hAnsiTheme="minorEastAsia" w:eastAsiaTheme="minorEastAsia"/>
          <w:color w:val="404040"/>
          <w:sz w:val="26"/>
          <w:szCs w:val="26"/>
          <w:highlight w:val="yellow"/>
        </w:rPr>
        <w:t>综合评分。</w:t>
      </w:r>
    </w:p>
    <w:p w14:paraId="78A13F6C">
      <w:pPr>
        <w:adjustRightInd/>
        <w:snapToGrid/>
        <w:spacing w:before="150" w:after="0" w:line="480" w:lineRule="atLeast"/>
        <w:ind w:firstLine="520" w:firstLineChars="200"/>
        <w:jc w:val="both"/>
        <w:rPr>
          <w:rFonts w:hint="eastAsia" w:cs="宋体" w:asciiTheme="minorEastAsia" w:hAnsiTheme="minorEastAsia" w:eastAsiaTheme="minorEastAsia"/>
          <w:color w:val="404040"/>
          <w:sz w:val="28"/>
          <w:szCs w:val="28"/>
        </w:rPr>
      </w:pPr>
      <w:r>
        <w:rPr>
          <w:rFonts w:hint="eastAsia" w:cs="宋体" w:asciiTheme="minorEastAsia" w:hAnsiTheme="minorEastAsia" w:eastAsiaTheme="minorEastAsia"/>
          <w:color w:val="404040"/>
          <w:sz w:val="26"/>
          <w:szCs w:val="26"/>
        </w:rPr>
        <w:t>3、投标人之间有相互串通投标、弄虚作假等违规行为者，将作废标处理，并在我院未来的项目招标中被拒绝接受投标。</w:t>
      </w:r>
    </w:p>
    <w:p w14:paraId="5D0B0A58">
      <w:pPr>
        <w:adjustRightInd/>
        <w:snapToGrid/>
        <w:spacing w:before="150" w:after="0" w:line="480" w:lineRule="atLeast"/>
        <w:jc w:val="both"/>
        <w:rPr>
          <w:rFonts w:hint="eastAsia" w:cs="宋体" w:asciiTheme="minorEastAsia" w:hAnsiTheme="minorEastAsia" w:eastAsiaTheme="minorEastAsia"/>
          <w:color w:val="404040"/>
          <w:sz w:val="28"/>
          <w:szCs w:val="28"/>
        </w:rPr>
      </w:pPr>
      <w:r>
        <w:rPr>
          <w:rFonts w:hint="eastAsia" w:cs="宋体" w:asciiTheme="minorEastAsia" w:hAnsiTheme="minorEastAsia" w:eastAsiaTheme="minorEastAsia"/>
          <w:b/>
          <w:bCs/>
          <w:color w:val="404040"/>
          <w:sz w:val="26"/>
        </w:rPr>
        <w:t>九、合同条款内容及签订</w:t>
      </w:r>
    </w:p>
    <w:p w14:paraId="0B98B268">
      <w:pPr>
        <w:adjustRightInd/>
        <w:snapToGrid/>
        <w:spacing w:before="150" w:after="0" w:line="480" w:lineRule="atLeast"/>
        <w:ind w:firstLine="480"/>
        <w:jc w:val="both"/>
        <w:rPr>
          <w:rFonts w:hint="eastAsia" w:cs="宋体" w:asciiTheme="minorEastAsia" w:hAnsiTheme="minorEastAsia" w:eastAsiaTheme="minorEastAsia"/>
          <w:color w:val="404040"/>
          <w:sz w:val="28"/>
          <w:szCs w:val="28"/>
        </w:rPr>
      </w:pPr>
      <w:r>
        <w:rPr>
          <w:rFonts w:hint="eastAsia" w:cs="宋体" w:asciiTheme="minorEastAsia" w:hAnsiTheme="minorEastAsia" w:eastAsiaTheme="minorEastAsia"/>
          <w:color w:val="404040"/>
          <w:sz w:val="26"/>
          <w:szCs w:val="26"/>
        </w:rPr>
        <w:t>1、合同专用条款内容依照国家规范文本，合同通用条款内容解释依照国家规</w:t>
      </w:r>
      <w:r>
        <w:rPr>
          <w:rFonts w:hint="eastAsia" w:cs="宋体" w:asciiTheme="minorEastAsia" w:hAnsiTheme="minorEastAsia" w:eastAsiaTheme="minorEastAsia"/>
          <w:color w:val="404040"/>
          <w:sz w:val="28"/>
          <w:szCs w:val="28"/>
        </w:rPr>
        <w:t>范文本。</w:t>
      </w:r>
    </w:p>
    <w:p w14:paraId="7C00EA7D">
      <w:pPr>
        <w:adjustRightInd/>
        <w:snapToGrid/>
        <w:spacing w:before="150" w:after="0" w:line="480" w:lineRule="atLeast"/>
        <w:ind w:firstLine="480"/>
        <w:jc w:val="both"/>
        <w:rPr>
          <w:rFonts w:hint="eastAsia" w:cs="宋体" w:asciiTheme="minorEastAsia" w:hAnsiTheme="minorEastAsia" w:eastAsiaTheme="minorEastAsia"/>
          <w:color w:val="404040"/>
          <w:sz w:val="28"/>
          <w:szCs w:val="28"/>
        </w:rPr>
      </w:pPr>
      <w:r>
        <w:rPr>
          <w:rFonts w:hint="eastAsia" w:cs="宋体" w:asciiTheme="minorEastAsia" w:hAnsiTheme="minorEastAsia" w:eastAsiaTheme="minorEastAsia"/>
          <w:color w:val="404040"/>
          <w:sz w:val="26"/>
          <w:szCs w:val="26"/>
        </w:rPr>
        <w:t>2、合同签订：中标人在接到中标通知后3天内，应派代表与招标人联系，商讨签订合同事宜。</w:t>
      </w:r>
    </w:p>
    <w:p w14:paraId="15C5C40A">
      <w:pPr>
        <w:adjustRightInd/>
        <w:snapToGrid/>
        <w:spacing w:before="150" w:after="0" w:line="480" w:lineRule="atLeast"/>
        <w:jc w:val="both"/>
        <w:rPr>
          <w:rFonts w:hint="eastAsia" w:cs="宋体" w:asciiTheme="minorEastAsia" w:hAnsiTheme="minorEastAsia" w:eastAsiaTheme="minorEastAsia"/>
          <w:color w:val="404040"/>
          <w:sz w:val="28"/>
          <w:szCs w:val="28"/>
        </w:rPr>
      </w:pPr>
      <w:r>
        <w:rPr>
          <w:rFonts w:hint="eastAsia" w:cs="宋体" w:asciiTheme="minorEastAsia" w:hAnsiTheme="minorEastAsia" w:eastAsiaTheme="minorEastAsia"/>
          <w:b/>
          <w:bCs/>
          <w:color w:val="404040"/>
          <w:sz w:val="26"/>
        </w:rPr>
        <w:t>十、其他未详尽事宜</w:t>
      </w:r>
    </w:p>
    <w:p w14:paraId="5EFE714C">
      <w:pPr>
        <w:adjustRightInd/>
        <w:snapToGrid/>
        <w:spacing w:before="150" w:after="0" w:line="480" w:lineRule="atLeast"/>
        <w:ind w:firstLine="480"/>
        <w:jc w:val="both"/>
        <w:rPr>
          <w:rFonts w:hint="eastAsia" w:cs="宋体" w:asciiTheme="minorEastAsia" w:hAnsiTheme="minorEastAsia" w:eastAsiaTheme="minorEastAsia"/>
          <w:color w:val="404040"/>
          <w:sz w:val="28"/>
          <w:szCs w:val="28"/>
        </w:rPr>
      </w:pPr>
      <w:r>
        <w:rPr>
          <w:rFonts w:hint="eastAsia" w:cs="宋体" w:asciiTheme="minorEastAsia" w:hAnsiTheme="minorEastAsia" w:eastAsiaTheme="minorEastAsia"/>
          <w:color w:val="404040"/>
          <w:sz w:val="26"/>
          <w:szCs w:val="26"/>
        </w:rPr>
        <w:t>依照国家政府采购和招投标有关规定。</w:t>
      </w:r>
    </w:p>
    <w:p w14:paraId="624D5D41">
      <w:pPr>
        <w:adjustRightInd/>
        <w:snapToGrid/>
        <w:spacing w:before="150" w:after="0" w:line="480" w:lineRule="atLeast"/>
        <w:jc w:val="both"/>
        <w:rPr>
          <w:rFonts w:hint="eastAsia" w:cs="宋体" w:asciiTheme="minorEastAsia" w:hAnsiTheme="minorEastAsia" w:eastAsiaTheme="minorEastAsia"/>
          <w:color w:val="404040"/>
          <w:sz w:val="28"/>
          <w:szCs w:val="28"/>
        </w:rPr>
      </w:pPr>
      <w:r>
        <w:rPr>
          <w:rFonts w:hint="eastAsia" w:cs="宋体" w:asciiTheme="minorEastAsia" w:hAnsiTheme="minorEastAsia" w:eastAsiaTheme="minorEastAsia"/>
          <w:b/>
          <w:bCs/>
          <w:color w:val="404040"/>
          <w:sz w:val="26"/>
        </w:rPr>
        <w:t>十一、监督电话</w:t>
      </w:r>
    </w:p>
    <w:p w14:paraId="4CFF6EFD">
      <w:pPr>
        <w:adjustRightInd/>
        <w:snapToGrid/>
        <w:spacing w:before="150" w:after="0" w:line="480" w:lineRule="atLeast"/>
        <w:ind w:firstLine="480"/>
        <w:jc w:val="both"/>
        <w:rPr>
          <w:rFonts w:hint="eastAsia" w:cs="宋体" w:asciiTheme="minorEastAsia" w:hAnsiTheme="minorEastAsia" w:eastAsiaTheme="minorEastAsia"/>
          <w:color w:val="404040"/>
          <w:sz w:val="26"/>
          <w:szCs w:val="26"/>
        </w:rPr>
      </w:pPr>
      <w:r>
        <w:rPr>
          <w:rFonts w:cs="宋体" w:asciiTheme="minorEastAsia" w:hAnsiTheme="minorEastAsia" w:eastAsiaTheme="minorEastAsia"/>
          <w:color w:val="404040"/>
          <w:sz w:val="26"/>
          <w:szCs w:val="26"/>
        </w:rPr>
        <w:t>在采购报名、采购调研等采购过程中有任何异议，可联系我院监督科室。电话：83660063-8407；83660063-8467。</w:t>
      </w:r>
    </w:p>
    <w:p w14:paraId="7E51BAB8">
      <w:pPr>
        <w:pStyle w:val="16"/>
        <w:rPr>
          <w:rFonts w:hint="eastAsia" w:cs="仿宋_GB2312" w:asciiTheme="minorEastAsia" w:hAnsiTheme="minorEastAsia" w:eastAsiaTheme="minorEastAsia"/>
          <w:b/>
          <w:sz w:val="24"/>
          <w:szCs w:val="24"/>
        </w:rPr>
      </w:pPr>
    </w:p>
    <w:p w14:paraId="20752ABE">
      <w:pPr>
        <w:adjustRightInd/>
        <w:snapToGrid/>
        <w:spacing w:after="0"/>
        <w:rPr>
          <w:rFonts w:hint="eastAsia" w:cs="仿宋_GB2312" w:asciiTheme="minorEastAsia" w:hAnsiTheme="minorEastAsia" w:eastAsiaTheme="minorEastAsia"/>
          <w:b/>
          <w:sz w:val="24"/>
          <w:szCs w:val="24"/>
        </w:rPr>
      </w:pPr>
      <w:r>
        <w:rPr>
          <w:rFonts w:cs="仿宋_GB2312" w:asciiTheme="minorEastAsia" w:hAnsiTheme="minorEastAsia" w:eastAsiaTheme="minorEastAsia"/>
          <w:b/>
          <w:sz w:val="24"/>
          <w:szCs w:val="24"/>
        </w:rPr>
        <w:br w:type="page"/>
      </w:r>
    </w:p>
    <w:p w14:paraId="49F58547">
      <w:pPr>
        <w:widowControl w:val="0"/>
        <w:adjustRightInd/>
        <w:snapToGrid/>
        <w:spacing w:after="0" w:line="590" w:lineRule="exact"/>
        <w:jc w:val="center"/>
        <w:rPr>
          <w:rFonts w:hint="eastAsia" w:cs="宋体" w:asciiTheme="minorEastAsia" w:hAnsiTheme="minorEastAsia" w:eastAsiaTheme="minorEastAsia"/>
          <w:color w:val="404040"/>
          <w:sz w:val="26"/>
          <w:szCs w:val="26"/>
        </w:rPr>
      </w:pPr>
      <w:r>
        <w:rPr>
          <w:rFonts w:cs="宋体" w:asciiTheme="minorEastAsia" w:hAnsiTheme="minorEastAsia" w:eastAsiaTheme="minorEastAsia"/>
          <w:color w:val="404040"/>
          <w:sz w:val="26"/>
          <w:szCs w:val="26"/>
        </w:rPr>
        <w:t>报价内容一览</w:t>
      </w:r>
    </w:p>
    <w:tbl>
      <w:tblPr>
        <w:tblStyle w:val="20"/>
        <w:tblW w:w="82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21"/>
        <w:gridCol w:w="1438"/>
        <w:gridCol w:w="1082"/>
        <w:gridCol w:w="1436"/>
        <w:gridCol w:w="1500"/>
      </w:tblGrid>
      <w:tr w14:paraId="5149BB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821" w:type="dxa"/>
            <w:shd w:val="clear" w:color="FFFFFF" w:fill="auto"/>
            <w:vAlign w:val="center"/>
          </w:tcPr>
          <w:p w14:paraId="6B06CEDB">
            <w:pPr>
              <w:widowControl w:val="0"/>
              <w:adjustRightInd/>
              <w:snapToGrid/>
              <w:spacing w:after="0" w:line="340" w:lineRule="exact"/>
              <w:jc w:val="center"/>
              <w:rPr>
                <w:rFonts w:hint="eastAsia" w:cs="宋体" w:asciiTheme="minorEastAsia" w:hAnsiTheme="minorEastAsia" w:eastAsiaTheme="minorEastAsia"/>
                <w:color w:val="404040"/>
                <w:sz w:val="26"/>
                <w:szCs w:val="26"/>
              </w:rPr>
            </w:pPr>
            <w:r>
              <w:rPr>
                <w:rFonts w:cs="宋体" w:asciiTheme="minorEastAsia" w:hAnsiTheme="minorEastAsia" w:eastAsiaTheme="minorEastAsia"/>
                <w:color w:val="404040"/>
                <w:sz w:val="26"/>
                <w:szCs w:val="26"/>
              </w:rPr>
              <w:t>项目名称</w:t>
            </w:r>
          </w:p>
        </w:tc>
        <w:tc>
          <w:tcPr>
            <w:tcW w:w="1438" w:type="dxa"/>
            <w:shd w:val="clear" w:color="FFFFFF" w:fill="auto"/>
            <w:vAlign w:val="center"/>
          </w:tcPr>
          <w:p w14:paraId="7F3A8E22">
            <w:pPr>
              <w:widowControl w:val="0"/>
              <w:adjustRightInd/>
              <w:snapToGrid/>
              <w:spacing w:after="0" w:line="340" w:lineRule="exact"/>
              <w:jc w:val="center"/>
              <w:rPr>
                <w:rFonts w:hint="eastAsia" w:cs="宋体" w:asciiTheme="minorEastAsia" w:hAnsiTheme="minorEastAsia" w:eastAsiaTheme="minorEastAsia"/>
                <w:color w:val="404040"/>
                <w:sz w:val="26"/>
                <w:szCs w:val="26"/>
              </w:rPr>
            </w:pPr>
            <w:r>
              <w:rPr>
                <w:rFonts w:cs="宋体" w:asciiTheme="minorEastAsia" w:hAnsiTheme="minorEastAsia" w:eastAsiaTheme="minorEastAsia"/>
                <w:color w:val="404040"/>
                <w:sz w:val="26"/>
                <w:szCs w:val="26"/>
              </w:rPr>
              <w:t>招标方式</w:t>
            </w:r>
          </w:p>
        </w:tc>
        <w:tc>
          <w:tcPr>
            <w:tcW w:w="1082" w:type="dxa"/>
            <w:shd w:val="clear" w:color="FFFFFF" w:fill="auto"/>
            <w:vAlign w:val="center"/>
          </w:tcPr>
          <w:p w14:paraId="046BA1D2">
            <w:pPr>
              <w:widowControl w:val="0"/>
              <w:adjustRightInd/>
              <w:snapToGrid/>
              <w:spacing w:after="0" w:line="340" w:lineRule="exact"/>
              <w:jc w:val="center"/>
              <w:rPr>
                <w:rFonts w:hint="eastAsia" w:cs="宋体" w:asciiTheme="minorEastAsia" w:hAnsiTheme="minorEastAsia" w:eastAsiaTheme="minorEastAsia"/>
                <w:color w:val="404040"/>
                <w:sz w:val="26"/>
                <w:szCs w:val="26"/>
              </w:rPr>
            </w:pPr>
            <w:r>
              <w:rPr>
                <w:rFonts w:cs="宋体" w:asciiTheme="minorEastAsia" w:hAnsiTheme="minorEastAsia" w:eastAsiaTheme="minorEastAsia"/>
                <w:color w:val="404040"/>
                <w:sz w:val="26"/>
                <w:szCs w:val="26"/>
              </w:rPr>
              <w:t>控制价</w:t>
            </w:r>
          </w:p>
        </w:tc>
        <w:tc>
          <w:tcPr>
            <w:tcW w:w="1436" w:type="dxa"/>
            <w:shd w:val="clear" w:color="FFFFFF" w:fill="auto"/>
            <w:vAlign w:val="center"/>
          </w:tcPr>
          <w:p w14:paraId="302BA552">
            <w:pPr>
              <w:widowControl w:val="0"/>
              <w:adjustRightInd/>
              <w:snapToGrid/>
              <w:spacing w:after="0" w:line="340" w:lineRule="exact"/>
              <w:jc w:val="center"/>
              <w:rPr>
                <w:rFonts w:hint="eastAsia" w:cs="宋体" w:asciiTheme="minorEastAsia" w:hAnsiTheme="minorEastAsia" w:eastAsiaTheme="minorEastAsia"/>
                <w:color w:val="404040"/>
                <w:sz w:val="26"/>
                <w:szCs w:val="26"/>
              </w:rPr>
            </w:pPr>
            <w:r>
              <w:rPr>
                <w:rFonts w:cs="宋体" w:asciiTheme="minorEastAsia" w:hAnsiTheme="minorEastAsia" w:eastAsiaTheme="minorEastAsia"/>
                <w:color w:val="404040"/>
                <w:sz w:val="26"/>
                <w:szCs w:val="26"/>
              </w:rPr>
              <w:t>数量</w:t>
            </w:r>
          </w:p>
        </w:tc>
        <w:tc>
          <w:tcPr>
            <w:tcW w:w="1500" w:type="dxa"/>
            <w:shd w:val="clear" w:color="FFFFFF" w:fill="auto"/>
            <w:vAlign w:val="center"/>
          </w:tcPr>
          <w:p w14:paraId="1571FED4">
            <w:pPr>
              <w:widowControl w:val="0"/>
              <w:adjustRightInd/>
              <w:snapToGrid/>
              <w:spacing w:after="0" w:line="340" w:lineRule="exact"/>
              <w:jc w:val="center"/>
              <w:rPr>
                <w:rFonts w:hint="eastAsia" w:cs="宋体" w:asciiTheme="minorEastAsia" w:hAnsiTheme="minorEastAsia" w:eastAsiaTheme="minorEastAsia"/>
                <w:color w:val="404040"/>
                <w:sz w:val="26"/>
                <w:szCs w:val="26"/>
              </w:rPr>
            </w:pPr>
            <w:r>
              <w:rPr>
                <w:rFonts w:cs="宋体" w:asciiTheme="minorEastAsia" w:hAnsiTheme="minorEastAsia" w:eastAsiaTheme="minorEastAsia"/>
                <w:color w:val="404040"/>
                <w:sz w:val="26"/>
                <w:szCs w:val="26"/>
              </w:rPr>
              <w:t>要求</w:t>
            </w:r>
          </w:p>
        </w:tc>
      </w:tr>
      <w:tr w14:paraId="175ADC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16" w:hRule="atLeast"/>
          <w:jc w:val="center"/>
        </w:trPr>
        <w:tc>
          <w:tcPr>
            <w:tcW w:w="2821" w:type="dxa"/>
            <w:vAlign w:val="center"/>
          </w:tcPr>
          <w:p w14:paraId="14B63E1B">
            <w:pPr>
              <w:spacing w:line="340" w:lineRule="exact"/>
              <w:jc w:val="center"/>
              <w:rPr>
                <w:rFonts w:hint="eastAsia" w:cs="宋体" w:asciiTheme="minorEastAsia" w:hAnsiTheme="minorEastAsia" w:eastAsiaTheme="minorEastAsia"/>
                <w:color w:val="404040"/>
                <w:sz w:val="26"/>
                <w:szCs w:val="26"/>
              </w:rPr>
            </w:pPr>
            <w:r>
              <w:rPr>
                <w:rFonts w:hint="eastAsia" w:cs="宋体" w:asciiTheme="minorEastAsia" w:hAnsiTheme="minorEastAsia" w:eastAsiaTheme="minorEastAsia"/>
                <w:color w:val="404040"/>
                <w:sz w:val="26"/>
                <w:szCs w:val="26"/>
              </w:rPr>
              <w:t>福建省肿瘤医院护理护工服务遴选</w:t>
            </w:r>
            <w:r>
              <w:rPr>
                <w:rFonts w:cs="宋体" w:asciiTheme="minorEastAsia" w:hAnsiTheme="minorEastAsia" w:eastAsiaTheme="minorEastAsia"/>
                <w:color w:val="404040"/>
                <w:sz w:val="26"/>
                <w:szCs w:val="26"/>
              </w:rPr>
              <w:t>项目</w:t>
            </w:r>
          </w:p>
        </w:tc>
        <w:tc>
          <w:tcPr>
            <w:tcW w:w="1438" w:type="dxa"/>
            <w:vAlign w:val="center"/>
          </w:tcPr>
          <w:p w14:paraId="2E793FBE">
            <w:pPr>
              <w:spacing w:line="340" w:lineRule="exact"/>
              <w:jc w:val="center"/>
              <w:rPr>
                <w:rFonts w:hint="eastAsia" w:cs="宋体" w:asciiTheme="minorEastAsia" w:hAnsiTheme="minorEastAsia" w:eastAsiaTheme="minorEastAsia"/>
                <w:i/>
                <w:iCs/>
                <w:color w:val="404040"/>
                <w:sz w:val="26"/>
                <w:szCs w:val="26"/>
              </w:rPr>
            </w:pPr>
            <w:r>
              <w:rPr>
                <w:rFonts w:hint="eastAsia" w:cs="宋体" w:asciiTheme="minorEastAsia" w:hAnsiTheme="minorEastAsia" w:eastAsiaTheme="minorEastAsia"/>
                <w:color w:val="404040"/>
                <w:sz w:val="26"/>
                <w:szCs w:val="26"/>
              </w:rPr>
              <w:t>综合评分</w:t>
            </w:r>
          </w:p>
        </w:tc>
        <w:tc>
          <w:tcPr>
            <w:tcW w:w="1082" w:type="dxa"/>
            <w:vAlign w:val="center"/>
          </w:tcPr>
          <w:p w14:paraId="7C8F1CC2">
            <w:pPr>
              <w:spacing w:line="340" w:lineRule="exact"/>
              <w:jc w:val="center"/>
              <w:rPr>
                <w:rFonts w:hint="eastAsia" w:cs="宋体" w:asciiTheme="minorEastAsia" w:hAnsiTheme="minorEastAsia" w:eastAsiaTheme="minorEastAsia"/>
                <w:color w:val="404040"/>
                <w:sz w:val="26"/>
                <w:szCs w:val="26"/>
              </w:rPr>
            </w:pPr>
            <w:r>
              <w:rPr>
                <w:rFonts w:hint="eastAsia" w:cs="宋体" w:asciiTheme="minorEastAsia" w:hAnsiTheme="minorEastAsia" w:eastAsiaTheme="minorEastAsia"/>
                <w:color w:val="404040"/>
                <w:sz w:val="26"/>
                <w:szCs w:val="26"/>
              </w:rPr>
              <w:t>\</w:t>
            </w:r>
          </w:p>
        </w:tc>
        <w:tc>
          <w:tcPr>
            <w:tcW w:w="1436" w:type="dxa"/>
            <w:vAlign w:val="center"/>
          </w:tcPr>
          <w:p w14:paraId="194F3C49">
            <w:pPr>
              <w:spacing w:line="340" w:lineRule="exact"/>
              <w:jc w:val="center"/>
              <w:rPr>
                <w:rFonts w:hint="eastAsia" w:cs="宋体" w:asciiTheme="minorEastAsia" w:hAnsiTheme="minorEastAsia" w:eastAsiaTheme="minorEastAsia"/>
                <w:color w:val="404040"/>
                <w:sz w:val="26"/>
                <w:szCs w:val="26"/>
              </w:rPr>
            </w:pPr>
            <w:r>
              <w:rPr>
                <w:rFonts w:hint="eastAsia" w:cs="宋体" w:asciiTheme="minorEastAsia" w:hAnsiTheme="minorEastAsia" w:eastAsiaTheme="minorEastAsia"/>
                <w:color w:val="404040"/>
                <w:sz w:val="26"/>
                <w:szCs w:val="26"/>
              </w:rPr>
              <w:t>\</w:t>
            </w:r>
          </w:p>
        </w:tc>
        <w:tc>
          <w:tcPr>
            <w:tcW w:w="1500" w:type="dxa"/>
            <w:vAlign w:val="center"/>
          </w:tcPr>
          <w:p w14:paraId="0FC86F19">
            <w:pPr>
              <w:spacing w:line="340" w:lineRule="exact"/>
              <w:jc w:val="center"/>
              <w:rPr>
                <w:rFonts w:hint="eastAsia" w:cs="宋体" w:asciiTheme="minorEastAsia" w:hAnsiTheme="minorEastAsia" w:eastAsiaTheme="minorEastAsia"/>
                <w:color w:val="404040"/>
                <w:sz w:val="26"/>
                <w:szCs w:val="26"/>
              </w:rPr>
            </w:pPr>
            <w:r>
              <w:rPr>
                <w:rFonts w:cs="宋体" w:asciiTheme="minorEastAsia" w:hAnsiTheme="minorEastAsia" w:eastAsiaTheme="minorEastAsia"/>
                <w:color w:val="404040"/>
                <w:sz w:val="26"/>
                <w:szCs w:val="26"/>
              </w:rPr>
              <w:t>详见附件</w:t>
            </w:r>
          </w:p>
        </w:tc>
      </w:tr>
    </w:tbl>
    <w:p w14:paraId="13D7C867">
      <w:pPr>
        <w:pStyle w:val="16"/>
        <w:rPr>
          <w:rFonts w:hint="eastAsia" w:cs="宋体" w:asciiTheme="minorEastAsia" w:hAnsiTheme="minorEastAsia" w:eastAsiaTheme="minorEastAsia"/>
          <w:color w:val="404040"/>
          <w:sz w:val="26"/>
          <w:szCs w:val="26"/>
        </w:rPr>
      </w:pPr>
      <w:r>
        <w:rPr>
          <w:rFonts w:cs="宋体" w:asciiTheme="minorEastAsia" w:hAnsiTheme="minorEastAsia" w:eastAsiaTheme="minorEastAsia"/>
          <w:color w:val="404040"/>
          <w:sz w:val="26"/>
          <w:szCs w:val="26"/>
        </w:rPr>
        <w:t>备注：</w:t>
      </w:r>
      <w:r>
        <w:rPr>
          <w:rFonts w:hint="eastAsia" w:cs="宋体" w:asciiTheme="minorEastAsia" w:hAnsiTheme="minorEastAsia" w:eastAsiaTheme="minorEastAsia"/>
          <w:color w:val="404040"/>
          <w:sz w:val="26"/>
          <w:szCs w:val="26"/>
        </w:rPr>
        <w:t>1、</w:t>
      </w:r>
      <w:r>
        <w:rPr>
          <w:rFonts w:cs="宋体" w:asciiTheme="minorEastAsia" w:hAnsiTheme="minorEastAsia" w:eastAsiaTheme="minorEastAsia"/>
          <w:color w:val="404040"/>
          <w:sz w:val="26"/>
          <w:szCs w:val="26"/>
        </w:rPr>
        <w:t>如双方对招标内容产生歧义，最终解释权归采购人。</w:t>
      </w:r>
    </w:p>
    <w:p w14:paraId="582FE125">
      <w:pPr>
        <w:pStyle w:val="16"/>
        <w:rPr>
          <w:rFonts w:hint="eastAsia" w:cs="仿宋_GB2312" w:asciiTheme="minorEastAsia" w:hAnsiTheme="minorEastAsia" w:eastAsiaTheme="minorEastAsia"/>
          <w:b/>
          <w:sz w:val="24"/>
          <w:szCs w:val="24"/>
        </w:rPr>
      </w:pPr>
    </w:p>
    <w:p w14:paraId="3FDD3E74">
      <w:pPr>
        <w:adjustRightInd/>
        <w:snapToGrid/>
        <w:spacing w:after="0"/>
        <w:rPr>
          <w:rFonts w:hint="eastAsia" w:cs="仿宋_GB2312" w:asciiTheme="minorEastAsia" w:hAnsiTheme="minorEastAsia" w:eastAsiaTheme="minorEastAsia"/>
          <w:b/>
          <w:sz w:val="24"/>
          <w:szCs w:val="24"/>
        </w:rPr>
      </w:pPr>
    </w:p>
    <w:p w14:paraId="25B1C534">
      <w:pPr>
        <w:pStyle w:val="16"/>
        <w:rPr>
          <w:rFonts w:hint="eastAsia" w:cs="仿宋_GB2312" w:asciiTheme="minorEastAsia" w:hAnsiTheme="minorEastAsia" w:eastAsiaTheme="minorEastAsia"/>
          <w:b/>
          <w:sz w:val="24"/>
          <w:szCs w:val="24"/>
        </w:rPr>
      </w:pPr>
    </w:p>
    <w:p w14:paraId="2FE7264C">
      <w:pPr>
        <w:pStyle w:val="16"/>
        <w:rPr>
          <w:rFonts w:hint="eastAsia" w:cs="仿宋_GB2312" w:asciiTheme="minorEastAsia" w:hAnsiTheme="minorEastAsia" w:eastAsiaTheme="minorEastAsia"/>
          <w:b/>
          <w:sz w:val="24"/>
          <w:szCs w:val="24"/>
        </w:rPr>
      </w:pPr>
    </w:p>
    <w:p w14:paraId="51B4F33F">
      <w:pPr>
        <w:pStyle w:val="16"/>
        <w:rPr>
          <w:rFonts w:hint="eastAsia" w:cs="仿宋_GB2312" w:asciiTheme="minorEastAsia" w:hAnsiTheme="minorEastAsia" w:eastAsiaTheme="minorEastAsia"/>
          <w:b/>
          <w:sz w:val="24"/>
          <w:szCs w:val="24"/>
        </w:rPr>
      </w:pPr>
    </w:p>
    <w:p w14:paraId="25E49639">
      <w:pPr>
        <w:pStyle w:val="16"/>
        <w:rPr>
          <w:rFonts w:hint="eastAsia" w:cs="仿宋_GB2312" w:asciiTheme="minorEastAsia" w:hAnsiTheme="minorEastAsia" w:eastAsiaTheme="minorEastAsia"/>
          <w:b/>
          <w:sz w:val="24"/>
          <w:szCs w:val="24"/>
        </w:rPr>
      </w:pPr>
    </w:p>
    <w:p w14:paraId="4D63D67B">
      <w:pPr>
        <w:pStyle w:val="16"/>
        <w:rPr>
          <w:rFonts w:hint="eastAsia" w:cs="仿宋_GB2312" w:asciiTheme="minorEastAsia" w:hAnsiTheme="minorEastAsia" w:eastAsiaTheme="minorEastAsia"/>
          <w:b/>
          <w:sz w:val="24"/>
          <w:szCs w:val="24"/>
        </w:rPr>
      </w:pPr>
    </w:p>
    <w:p w14:paraId="0A281B5B">
      <w:pPr>
        <w:pStyle w:val="16"/>
        <w:rPr>
          <w:rFonts w:hint="eastAsia" w:cs="仿宋_GB2312" w:asciiTheme="minorEastAsia" w:hAnsiTheme="minorEastAsia" w:eastAsiaTheme="minorEastAsia"/>
          <w:b/>
          <w:sz w:val="24"/>
          <w:szCs w:val="24"/>
        </w:rPr>
      </w:pPr>
    </w:p>
    <w:p w14:paraId="3FAE3066">
      <w:pPr>
        <w:pStyle w:val="16"/>
        <w:rPr>
          <w:rFonts w:hint="eastAsia" w:cs="仿宋_GB2312" w:asciiTheme="minorEastAsia" w:hAnsiTheme="minorEastAsia" w:eastAsiaTheme="minorEastAsia"/>
          <w:b/>
          <w:sz w:val="24"/>
          <w:szCs w:val="24"/>
        </w:rPr>
      </w:pPr>
    </w:p>
    <w:p w14:paraId="188397B1">
      <w:pPr>
        <w:pStyle w:val="16"/>
        <w:rPr>
          <w:rFonts w:hint="eastAsia" w:cs="仿宋_GB2312" w:asciiTheme="minorEastAsia" w:hAnsiTheme="minorEastAsia" w:eastAsiaTheme="minorEastAsia"/>
          <w:b/>
          <w:sz w:val="24"/>
          <w:szCs w:val="24"/>
        </w:rPr>
      </w:pPr>
    </w:p>
    <w:p w14:paraId="0B5F2497">
      <w:pPr>
        <w:pStyle w:val="16"/>
        <w:rPr>
          <w:rFonts w:hint="eastAsia" w:cs="仿宋_GB2312" w:asciiTheme="minorEastAsia" w:hAnsiTheme="minorEastAsia" w:eastAsiaTheme="minorEastAsia"/>
          <w:b/>
          <w:sz w:val="24"/>
          <w:szCs w:val="24"/>
        </w:rPr>
      </w:pPr>
    </w:p>
    <w:p w14:paraId="5C0B6CAD">
      <w:pPr>
        <w:pStyle w:val="16"/>
        <w:rPr>
          <w:rFonts w:hint="eastAsia" w:cs="仿宋_GB2312" w:asciiTheme="minorEastAsia" w:hAnsiTheme="minorEastAsia" w:eastAsiaTheme="minorEastAsia"/>
          <w:b/>
          <w:sz w:val="24"/>
          <w:szCs w:val="24"/>
        </w:rPr>
      </w:pPr>
    </w:p>
    <w:p w14:paraId="0A2F7A80">
      <w:pPr>
        <w:adjustRightInd/>
        <w:snapToGrid/>
        <w:spacing w:after="0"/>
        <w:rPr>
          <w:rFonts w:hint="eastAsia" w:cs="仿宋_GB2312" w:asciiTheme="minorEastAsia" w:hAnsiTheme="minorEastAsia" w:eastAsiaTheme="minorEastAsia"/>
          <w:b/>
          <w:sz w:val="24"/>
          <w:szCs w:val="24"/>
        </w:rPr>
      </w:pPr>
      <w:r>
        <w:rPr>
          <w:rFonts w:hint="eastAsia" w:cs="仿宋_GB2312" w:asciiTheme="minorEastAsia" w:hAnsiTheme="minorEastAsia" w:eastAsiaTheme="minorEastAsia"/>
          <w:b/>
          <w:sz w:val="24"/>
          <w:szCs w:val="24"/>
        </w:rPr>
        <w:br w:type="page"/>
      </w:r>
    </w:p>
    <w:p w14:paraId="35536F9F">
      <w:pPr>
        <w:pStyle w:val="45"/>
        <w:rPr>
          <w:rFonts w:cs="宋体" w:asciiTheme="minorEastAsia" w:hAnsiTheme="minorEastAsia" w:eastAsiaTheme="minorEastAsia"/>
          <w:b/>
          <w:sz w:val="36"/>
          <w:szCs w:val="36"/>
        </w:rPr>
      </w:pPr>
      <w:r>
        <w:rPr>
          <w:rFonts w:cs="宋体" w:asciiTheme="minorEastAsia" w:hAnsiTheme="minorEastAsia" w:eastAsiaTheme="minorEastAsia"/>
          <w:b/>
          <w:sz w:val="36"/>
          <w:szCs w:val="36"/>
        </w:rPr>
        <w:t>附件：</w:t>
      </w:r>
    </w:p>
    <w:p w14:paraId="581E4BC7">
      <w:pPr>
        <w:spacing w:after="156" w:afterLines="50" w:line="468" w:lineRule="exact"/>
        <w:rPr>
          <w:rFonts w:hint="eastAsia" w:asciiTheme="minorEastAsia" w:hAnsiTheme="minorEastAsia" w:eastAsiaTheme="minorEastAsia"/>
          <w:b/>
          <w:bCs/>
          <w:sz w:val="30"/>
          <w:szCs w:val="30"/>
        </w:rPr>
      </w:pPr>
      <w:r>
        <w:rPr>
          <w:rFonts w:hint="eastAsia" w:asciiTheme="minorEastAsia" w:hAnsiTheme="minorEastAsia" w:eastAsiaTheme="minorEastAsia"/>
          <w:b/>
          <w:bCs/>
          <w:sz w:val="30"/>
          <w:szCs w:val="30"/>
        </w:rPr>
        <w:t>一、技术和服务要求</w:t>
      </w:r>
    </w:p>
    <w:p w14:paraId="1D4DE72A">
      <w:pPr>
        <w:spacing w:line="360" w:lineRule="auto"/>
        <w:ind w:left="68" w:firstLine="482" w:firstLineChars="200"/>
        <w:rPr>
          <w:rFonts w:hint="eastAsia" w:asciiTheme="minorEastAsia" w:hAnsiTheme="minorEastAsia" w:eastAsiaTheme="minorEastAsia"/>
          <w:b/>
          <w:bCs/>
          <w:sz w:val="24"/>
        </w:rPr>
      </w:pPr>
      <w:r>
        <w:rPr>
          <w:rFonts w:hint="eastAsia" w:asciiTheme="minorEastAsia" w:hAnsiTheme="minorEastAsia" w:eastAsiaTheme="minorEastAsia"/>
          <w:b/>
          <w:bCs/>
          <w:sz w:val="24"/>
        </w:rPr>
        <w:t>1.人员要求</w:t>
      </w:r>
    </w:p>
    <w:p w14:paraId="50A9EFE1">
      <w:pPr>
        <w:spacing w:line="360" w:lineRule="auto"/>
        <w:ind w:left="68"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1.1、护理员管理人员要求</w:t>
      </w:r>
    </w:p>
    <w:p w14:paraId="2264585E">
      <w:pPr>
        <w:spacing w:line="360" w:lineRule="auto"/>
        <w:ind w:left="68"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在医院内配置项目管理团队，项目经理资质要求：本科及以上学历，取得护士资格证书，具备5年以上护理相关工作经验；按比例20个护理员配置1个护理员管理人员。</w:t>
      </w:r>
    </w:p>
    <w:p w14:paraId="7E9EC884">
      <w:pPr>
        <w:spacing w:line="360" w:lineRule="auto"/>
        <w:ind w:left="68"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1.2、护理员要求</w:t>
      </w:r>
    </w:p>
    <w:p w14:paraId="2C7F5CE7">
      <w:pPr>
        <w:spacing w:line="360" w:lineRule="auto"/>
        <w:ind w:left="68"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聘用的护理员年龄符合18-60岁，服务意识强，态度端正，无参加非法组织及活动，提供无犯罪记录证明，有一定的语言表达和沟通交流的能力，具有小学及以上文化水平，男女不限，须进行岗前培训，具有护理类初级（或以上）职称证书或医疗护理员培训证书或护理类相关培训结业证书，持有医疗护理员培训证书人员占护理员总数50%及以上，且持有医疗护理员培训证书人员达到50人及以上。</w:t>
      </w:r>
    </w:p>
    <w:p w14:paraId="2D1BC197">
      <w:pPr>
        <w:spacing w:line="360" w:lineRule="auto"/>
        <w:ind w:left="68"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2.护理员人员管理要求</w:t>
      </w:r>
    </w:p>
    <w:p w14:paraId="1CDE9620">
      <w:pPr>
        <w:spacing w:line="360" w:lineRule="auto"/>
        <w:ind w:left="68"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2.1、护理员档案管理</w:t>
      </w:r>
    </w:p>
    <w:p w14:paraId="2231FC0E">
      <w:pPr>
        <w:spacing w:line="360" w:lineRule="auto"/>
        <w:ind w:left="68"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具有培训合格证书的护理员应建立档案，未建档不得从事护理员工作。</w:t>
      </w:r>
    </w:p>
    <w:p w14:paraId="729F61ED">
      <w:pPr>
        <w:spacing w:line="360" w:lineRule="auto"/>
        <w:ind w:left="68"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2.2、护理员健康管理</w:t>
      </w:r>
    </w:p>
    <w:p w14:paraId="677CADD1">
      <w:pPr>
        <w:spacing w:line="360" w:lineRule="auto"/>
        <w:ind w:left="68"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护理员上岗前应在二级以上医院进行健康检查并取得合格证，上岗后应每年进行一次健康检查。患有精神障碍、传染性疾病、药物过敏等疾病的人员，不得从事护理员工作。</w:t>
      </w:r>
    </w:p>
    <w:p w14:paraId="35251A58">
      <w:pPr>
        <w:spacing w:line="360" w:lineRule="auto"/>
        <w:ind w:left="68"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2.3、投标人有购买有效期内的团体人身险（包括但不限于个人意外险或雇主责任险）</w:t>
      </w:r>
    </w:p>
    <w:p w14:paraId="6B707FA0">
      <w:pPr>
        <w:spacing w:line="360" w:lineRule="auto"/>
        <w:ind w:left="68"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2.4、建立考评机制</w:t>
      </w:r>
    </w:p>
    <w:p w14:paraId="55DD1F46">
      <w:pPr>
        <w:spacing w:line="360" w:lineRule="auto"/>
        <w:ind w:left="68"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中标人建立健全以职业道德、业务水平和患者满意度为主要内容的护理员考核评价方法，定期对护理员进行考核评价，并将考核结果计入护理员个人档案，对考核评价优良的优先聘用上岗，考核评价不合格的要责令其立即整改，对拒不改正，或不服从管理、职业道德差、乱收费、侵害患者合法权益的，采购人有权取消其在本项目的陪护资格。</w:t>
      </w:r>
    </w:p>
    <w:p w14:paraId="1F05ADE7">
      <w:pPr>
        <w:spacing w:line="360" w:lineRule="auto"/>
        <w:ind w:left="68"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2.5、监督管理</w:t>
      </w:r>
    </w:p>
    <w:p w14:paraId="37ED38DB">
      <w:pPr>
        <w:spacing w:line="360" w:lineRule="auto"/>
        <w:ind w:left="68"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中标人应认真做好护理员规范化管理工作，对医院考评不合格的护理员应解除合作关系，不再进行录用。</w:t>
      </w:r>
    </w:p>
    <w:p w14:paraId="22AAFD68">
      <w:pPr>
        <w:spacing w:line="360" w:lineRule="auto"/>
        <w:ind w:left="68" w:firstLine="482" w:firstLineChars="200"/>
        <w:rPr>
          <w:rFonts w:hint="eastAsia" w:asciiTheme="minorEastAsia" w:hAnsiTheme="minorEastAsia" w:eastAsiaTheme="minorEastAsia"/>
          <w:b/>
          <w:bCs/>
          <w:sz w:val="24"/>
        </w:rPr>
      </w:pPr>
      <w:r>
        <w:rPr>
          <w:rFonts w:hint="eastAsia" w:asciiTheme="minorEastAsia" w:hAnsiTheme="minorEastAsia" w:eastAsiaTheme="minorEastAsia"/>
          <w:b/>
          <w:bCs/>
          <w:sz w:val="24"/>
        </w:rPr>
        <w:t>3、护理员岗位设置、服务范围、内容</w:t>
      </w:r>
    </w:p>
    <w:p w14:paraId="14C83C13">
      <w:pPr>
        <w:spacing w:line="360" w:lineRule="auto"/>
        <w:ind w:left="68"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3.1、岗位设置：接受</w:t>
      </w:r>
      <w:r>
        <w:rPr>
          <w:rFonts w:hint="eastAsia" w:asciiTheme="minorEastAsia" w:hAnsiTheme="minorEastAsia" w:eastAsiaTheme="minorEastAsia"/>
          <w:sz w:val="24"/>
          <w:u w:val="single"/>
        </w:rPr>
        <w:t>福建省肿瘤</w:t>
      </w:r>
      <w:r>
        <w:rPr>
          <w:rFonts w:hint="eastAsia" w:asciiTheme="minorEastAsia" w:hAnsiTheme="minorEastAsia" w:eastAsiaTheme="minorEastAsia"/>
          <w:sz w:val="24"/>
        </w:rPr>
        <w:t>医院陪护服务委托管理，对全院护理员实行“五统一”（统一调配、统一着装、统一标志、统一收费、统一管理）管理，严格执行护理员岗位职责，不得从事与护理员职责无关的活动，严禁护理员代替护士从事护理技术性操作。</w:t>
      </w:r>
    </w:p>
    <w:p w14:paraId="60B56EB4">
      <w:pPr>
        <w:spacing w:line="360" w:lineRule="auto"/>
        <w:ind w:left="68"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3.2、护理员服务内容</w:t>
      </w:r>
    </w:p>
    <w:p w14:paraId="2B64EC5F">
      <w:pPr>
        <w:spacing w:line="360" w:lineRule="auto"/>
        <w:ind w:left="68"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护理员应在科室护士长或注册护士的业务指导下从事生活护理，尊重患者、关心患者，耐心细致地完成患者的生活护理，保护患者的隐私。包括：</w:t>
      </w:r>
    </w:p>
    <w:p w14:paraId="59CCD173">
      <w:pPr>
        <w:spacing w:line="360" w:lineRule="auto"/>
        <w:ind w:left="68"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（1）24小时陪伴、观察病人，看护输液，发现异常及时报告医护人员。</w:t>
      </w:r>
    </w:p>
    <w:p w14:paraId="218C19EC">
      <w:pPr>
        <w:spacing w:line="360" w:lineRule="auto"/>
        <w:ind w:left="68"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（2）工作认真细致，严格实施各项防护措施，严防压疮、脱管、坠床、跌倒、烫伤、走失等不良事件的发生。</w:t>
      </w:r>
    </w:p>
    <w:p w14:paraId="16CB30DA">
      <w:pPr>
        <w:spacing w:line="360" w:lineRule="auto"/>
        <w:ind w:left="68"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（3）协助做好患者的床位整理，保持床头桌整洁有序，床底、地面无杂物，协助保持病房的安静整洁。</w:t>
      </w:r>
    </w:p>
    <w:p w14:paraId="0C1DE4EE">
      <w:pPr>
        <w:spacing w:line="360" w:lineRule="auto"/>
        <w:ind w:left="68"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（4）协助患者完成基本的生活护理，如卧床患者洗脸、洗头、梳头、洗脚、洗衣服、床上擦浴、修剪指（趾）甲、口腔卫生、患者会阴部清洁、皮肤护理、递送便盆、便壶、翻身、拍背、按摩、预防褥疮等。</w:t>
      </w:r>
    </w:p>
    <w:p w14:paraId="71E427BE">
      <w:pPr>
        <w:spacing w:line="360" w:lineRule="auto"/>
        <w:ind w:left="68"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（5）协助卧床患者及输液患者进食、进水、喂药，饭前饭后洗手，协助大小便及递送便器、处理排泄物等。</w:t>
      </w:r>
    </w:p>
    <w:p w14:paraId="58D5A772">
      <w:pPr>
        <w:spacing w:line="360" w:lineRule="auto"/>
        <w:ind w:left="68"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（6）协助搬动患者或迁床工作，协助生活不能自理的患者起床活动，如上下床、坐轮椅、摆放体位以及活动关节等。</w:t>
      </w:r>
    </w:p>
    <w:p w14:paraId="1785B155">
      <w:pPr>
        <w:spacing w:line="360" w:lineRule="auto"/>
        <w:ind w:left="68"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（7）协助患者留取各种标本。</w:t>
      </w:r>
    </w:p>
    <w:p w14:paraId="7EF0D973">
      <w:pPr>
        <w:spacing w:line="360" w:lineRule="auto"/>
        <w:ind w:left="68"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（8）协助或陪同患者外出行相关检查、治疗。</w:t>
      </w:r>
    </w:p>
    <w:p w14:paraId="78D30D3B">
      <w:pPr>
        <w:spacing w:line="360" w:lineRule="auto"/>
        <w:ind w:left="68"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（9）在护士指导下，协助患者进行康复性训练。</w:t>
      </w:r>
    </w:p>
    <w:p w14:paraId="53AF8565">
      <w:pPr>
        <w:spacing w:line="360" w:lineRule="auto"/>
        <w:ind w:left="68"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（10）做好患者的心理安抚，陪伴患者并与患者及家属有效沟通。</w:t>
      </w:r>
    </w:p>
    <w:p w14:paraId="0F9D625D">
      <w:pPr>
        <w:spacing w:line="360" w:lineRule="auto"/>
        <w:ind w:left="68"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3.3、严禁护理员代替护士从事以下护理技术性操作</w:t>
      </w:r>
    </w:p>
    <w:p w14:paraId="23D34821">
      <w:pPr>
        <w:spacing w:line="360" w:lineRule="auto"/>
        <w:ind w:left="68"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（1）严禁为患者调节氧气开关及氧气流量，更换或加减湿化瓶内用水。</w:t>
      </w:r>
    </w:p>
    <w:p w14:paraId="7B82D242">
      <w:pPr>
        <w:spacing w:line="360" w:lineRule="auto"/>
        <w:ind w:left="68"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（2）严禁为输液患者更换液体，私自调节输液速度及为患者拔除输液管道。</w:t>
      </w:r>
    </w:p>
    <w:p w14:paraId="64C917A0">
      <w:pPr>
        <w:spacing w:line="360" w:lineRule="auto"/>
        <w:ind w:left="68"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（3）严禁为患者吸痰，擅自为患者更换各种引流瓶，为患者拔除各种引流管。</w:t>
      </w:r>
    </w:p>
    <w:p w14:paraId="119C3376">
      <w:pPr>
        <w:spacing w:line="360" w:lineRule="auto"/>
        <w:ind w:left="68"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（4）严禁擅自处理或调节监护仪器、呼吸机、输液泵等医疗设备等。</w:t>
      </w:r>
    </w:p>
    <w:p w14:paraId="306F03A5">
      <w:pPr>
        <w:spacing w:line="360" w:lineRule="auto"/>
        <w:ind w:left="68"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（5）严禁其它医疗护理技术操作。</w:t>
      </w:r>
    </w:p>
    <w:p w14:paraId="2DEB9940">
      <w:pPr>
        <w:spacing w:line="360" w:lineRule="auto"/>
        <w:ind w:left="68"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3.4、护理员工作要求</w:t>
      </w:r>
    </w:p>
    <w:p w14:paraId="4262EA97">
      <w:pPr>
        <w:spacing w:line="360" w:lineRule="auto"/>
        <w:ind w:left="68"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（1）服从科室护士长和护理员管理站的管理，不挑选病人或科室。</w:t>
      </w:r>
    </w:p>
    <w:p w14:paraId="67CE817D">
      <w:pPr>
        <w:spacing w:line="360" w:lineRule="auto"/>
        <w:ind w:left="68"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（2）上班时须穿工作服，平底鞋，佩戴胸卡，衣服整洁卫生。</w:t>
      </w:r>
    </w:p>
    <w:p w14:paraId="784A820E">
      <w:pPr>
        <w:spacing w:line="360" w:lineRule="auto"/>
        <w:ind w:left="68"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（3）必须有爱心观念，视病人如亲人，积极倡导“三轻四心”即“说话轻、走路轻、做事轻，爱心、耐心、细心、责任心”的服务理念。</w:t>
      </w:r>
    </w:p>
    <w:p w14:paraId="5D6C57A2">
      <w:pPr>
        <w:spacing w:line="360" w:lineRule="auto"/>
        <w:ind w:left="68"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（4）护理员须尊重和保护病人隐私，不泄露病人信息。</w:t>
      </w:r>
    </w:p>
    <w:p w14:paraId="206AC822">
      <w:pPr>
        <w:spacing w:line="360" w:lineRule="auto"/>
        <w:ind w:left="68"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（5）护理员可配合管理中心向病人或家属催缴正当的陪护费用，除此之外不向病人及家属索取任何钱物，做到不贪不拿不敲诈勒索。</w:t>
      </w:r>
    </w:p>
    <w:p w14:paraId="3B8C7181">
      <w:pPr>
        <w:spacing w:line="360" w:lineRule="auto"/>
        <w:ind w:left="68"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3.5、护理员工作质量标准</w:t>
      </w:r>
    </w:p>
    <w:p w14:paraId="15EB41B3">
      <w:pPr>
        <w:spacing w:line="360" w:lineRule="auto"/>
        <w:ind w:left="68"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在合同实施过程中，中标供应商须定期按采购人要求对护理员的工作要求和工作质量标准进行修订提升，中标供应商须积极配合改进，以满足采购人、患者及家属的需求。</w:t>
      </w:r>
    </w:p>
    <w:p w14:paraId="7D442FB7">
      <w:pPr>
        <w:spacing w:line="360" w:lineRule="auto"/>
        <w:ind w:left="68"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工作质量标准由中标供应商管理人员监督，每日定时巡查，巡查中发现的问题及时整改，严格按照管理规章制度执行。要求如下：</w:t>
      </w:r>
    </w:p>
    <w:p w14:paraId="3BE76875">
      <w:pPr>
        <w:spacing w:line="360" w:lineRule="auto"/>
        <w:ind w:left="68"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(1)病室环境整洁、安静、无异味，空气清新。</w:t>
      </w:r>
    </w:p>
    <w:p w14:paraId="379F166A">
      <w:pPr>
        <w:spacing w:line="360" w:lineRule="auto"/>
        <w:ind w:left="68"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(2)病室内无危险物品（如：刀、剪、绳、火、玻璃制品及锐器等）</w:t>
      </w:r>
    </w:p>
    <w:p w14:paraId="6D2BA60A">
      <w:pPr>
        <w:spacing w:line="360" w:lineRule="auto"/>
        <w:ind w:left="68"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(3)保持病人“三短六洁四无”：</w:t>
      </w:r>
    </w:p>
    <w:p w14:paraId="3E8DBD0D">
      <w:pPr>
        <w:spacing w:line="360" w:lineRule="auto"/>
        <w:ind w:left="68"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1）三短：病人头发、胡须、指（趾）甲短；</w:t>
      </w:r>
    </w:p>
    <w:p w14:paraId="5E9A7975">
      <w:pPr>
        <w:spacing w:line="360" w:lineRule="auto"/>
        <w:ind w:left="68"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2）六洁：病人口腔、皮肤、头发、手足、会阴及肛门清洁；</w:t>
      </w:r>
    </w:p>
    <w:p w14:paraId="67326042">
      <w:pPr>
        <w:spacing w:line="360" w:lineRule="auto"/>
        <w:ind w:left="68"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3）四无：病人及病床无异味、衣服被褥无潮湿、床单无皱褶、皮肤无压疮。</w:t>
      </w:r>
    </w:p>
    <w:p w14:paraId="12A3AD41">
      <w:pPr>
        <w:spacing w:line="360" w:lineRule="auto"/>
        <w:ind w:left="68"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(4)护理员工作中做到细致、耐心，主动、热情；使用文明用语；</w:t>
      </w:r>
    </w:p>
    <w:p w14:paraId="2C3A51F5">
      <w:pPr>
        <w:spacing w:line="360" w:lineRule="auto"/>
        <w:ind w:left="68"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(5)护理员上岗着工服，带工牌，个人仪表卫生、清洁、整齐，做到头发、胡须、指甲短，身体及口腔无异味；</w:t>
      </w:r>
    </w:p>
    <w:p w14:paraId="5466F872">
      <w:pPr>
        <w:spacing w:line="360" w:lineRule="auto"/>
        <w:ind w:left="68"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(6)护理员工作中见到医务人员、管理人员主动打招呼；</w:t>
      </w:r>
    </w:p>
    <w:p w14:paraId="0D562275">
      <w:pPr>
        <w:spacing w:line="360" w:lineRule="auto"/>
        <w:ind w:left="68"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(7)护理员工作期间禁止玩手机；</w:t>
      </w:r>
    </w:p>
    <w:p w14:paraId="3C748B57">
      <w:pPr>
        <w:spacing w:line="360" w:lineRule="auto"/>
        <w:ind w:left="68"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(8)护理员禁止与患者、家属、医务人员及院里领导发生争吵、身体接触；</w:t>
      </w:r>
    </w:p>
    <w:p w14:paraId="5E126238">
      <w:pPr>
        <w:spacing w:line="360" w:lineRule="auto"/>
        <w:ind w:left="68"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(9)护理员要耐心听取患者、家属及医务人员建议，有问题及时上报主管；</w:t>
      </w:r>
    </w:p>
    <w:p w14:paraId="024EE17A">
      <w:pPr>
        <w:spacing w:line="360" w:lineRule="auto"/>
        <w:ind w:left="68"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(10)护理员不得在病区做饭、看电视、会客、扎堆聊天、大声喧哗、随意外出，没有照护病人时不得留宿病房，不得以各种方式向病人及家属索要财物。</w:t>
      </w:r>
    </w:p>
    <w:p w14:paraId="272CC4B6">
      <w:pPr>
        <w:spacing w:line="360" w:lineRule="auto"/>
        <w:ind w:left="68"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(11)护理员不参与医疗有关事宜，不对病情及医疗事宜发表意见，保护患者隐私。</w:t>
      </w:r>
    </w:p>
    <w:p w14:paraId="7B834738">
      <w:pPr>
        <w:spacing w:line="360" w:lineRule="auto"/>
        <w:ind w:left="68" w:firstLine="482" w:firstLineChars="200"/>
        <w:rPr>
          <w:rFonts w:hint="eastAsia" w:asciiTheme="minorEastAsia" w:hAnsiTheme="minorEastAsia" w:eastAsiaTheme="minorEastAsia"/>
          <w:b/>
          <w:bCs/>
          <w:sz w:val="24"/>
        </w:rPr>
      </w:pPr>
      <w:r>
        <w:rPr>
          <w:rFonts w:hint="eastAsia" w:asciiTheme="minorEastAsia" w:hAnsiTheme="minorEastAsia" w:eastAsiaTheme="minorEastAsia"/>
          <w:b/>
          <w:bCs/>
          <w:sz w:val="24"/>
        </w:rPr>
        <w:t>4、服务要求</w:t>
      </w:r>
    </w:p>
    <w:p w14:paraId="76501CA9">
      <w:pPr>
        <w:spacing w:line="360" w:lineRule="auto"/>
        <w:ind w:left="68"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4.1、提供培训方案,包括但不限于以下内容：每年有培训计划，每月对护理员进行理论、技能培训，重点包括职业道德、医院基本工作程序、规章制度及住院患者日常陪护照料等。培训内容：（1）职业道德；（2）工作制度、职责和流程；（3）消毒隔离基本知识；（4）患者卫生处置、生活护理和饮食种类；（5）护理等级要求；（6）常见卧位及意义，更换卧位方法；（7）健康教育相关知识和沟通交流技巧；（8）手卫生、消防知识、CPR；（9）患者转运、搬运方法及注意事项；（10）如何协助各种标本采集。培训方式为上岗前培训和上岗后定期强化培训相结合。</w:t>
      </w:r>
    </w:p>
    <w:p w14:paraId="7A688031">
      <w:pPr>
        <w:spacing w:line="360" w:lineRule="auto"/>
        <w:ind w:left="68"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4.2、提供无陪护病房照护实施方案,方案合理、切实有效，适用本项目。</w:t>
      </w:r>
    </w:p>
    <w:p w14:paraId="160AE14C">
      <w:pPr>
        <w:spacing w:line="360" w:lineRule="auto"/>
        <w:ind w:left="68"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4.3、提供服务投诉处理方案。（包括处理投诉机构、投诉处理具体流程、信息反馈处理流程及时间等）</w:t>
      </w:r>
    </w:p>
    <w:p w14:paraId="3A71E013">
      <w:pPr>
        <w:spacing w:line="360" w:lineRule="auto"/>
        <w:ind w:left="68"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4.4、中标人应在采购人单位内派驻护理员管理人员，管理人员服从护理部领导或者指定负责人的指导，对人员应严格管理，做到24小时昼夜服务，新派护理员需在2小时到位，服从病区护士长及护士的管理，确保陪护质量。</w:t>
      </w:r>
    </w:p>
    <w:p w14:paraId="3DAE0CF9">
      <w:pPr>
        <w:spacing w:line="360" w:lineRule="auto"/>
        <w:ind w:left="68"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4.5、护理员调配：护理员的轮班及休息时间由派遣公司自行安排，遇到人员紧缺的情况，中标人必须进行调配，确保有人在岗。</w:t>
      </w:r>
    </w:p>
    <w:p w14:paraId="59347EA7">
      <w:pPr>
        <w:spacing w:line="360" w:lineRule="auto"/>
        <w:ind w:left="68"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4.6、中标人应提供临时突发时间的应急处置措施，如遇到护理员请假、突发性等缺人情况，由中标人统筹安排，保证有人在岗。</w:t>
      </w:r>
    </w:p>
    <w:p w14:paraId="0D5B4668">
      <w:pPr>
        <w:spacing w:after="156" w:afterLines="50" w:line="468" w:lineRule="exact"/>
        <w:rPr>
          <w:rFonts w:hint="eastAsia" w:asciiTheme="minorEastAsia" w:hAnsiTheme="minorEastAsia" w:eastAsiaTheme="minorEastAsia"/>
          <w:b/>
          <w:bCs/>
          <w:sz w:val="30"/>
          <w:szCs w:val="30"/>
        </w:rPr>
      </w:pPr>
      <w:r>
        <w:rPr>
          <w:rFonts w:hint="eastAsia" w:asciiTheme="minorEastAsia" w:hAnsiTheme="minorEastAsia" w:eastAsiaTheme="minorEastAsia"/>
          <w:b/>
          <w:bCs/>
          <w:sz w:val="30"/>
          <w:szCs w:val="30"/>
        </w:rPr>
        <w:t>二、收费标准及服务模式</w:t>
      </w:r>
    </w:p>
    <w:tbl>
      <w:tblPr>
        <w:tblStyle w:val="20"/>
        <w:tblW w:w="0" w:type="auto"/>
        <w:tblInd w:w="-30" w:type="dxa"/>
        <w:tblLayout w:type="autofit"/>
        <w:tblCellMar>
          <w:top w:w="0" w:type="dxa"/>
          <w:left w:w="108" w:type="dxa"/>
          <w:bottom w:w="0" w:type="dxa"/>
          <w:right w:w="108" w:type="dxa"/>
        </w:tblCellMar>
      </w:tblPr>
      <w:tblGrid>
        <w:gridCol w:w="1445"/>
        <w:gridCol w:w="1357"/>
        <w:gridCol w:w="4931"/>
        <w:gridCol w:w="819"/>
      </w:tblGrid>
      <w:tr w14:paraId="798D9339">
        <w:tblPrEx>
          <w:tblCellMar>
            <w:top w:w="0" w:type="dxa"/>
            <w:left w:w="108" w:type="dxa"/>
            <w:bottom w:w="0" w:type="dxa"/>
            <w:right w:w="108" w:type="dxa"/>
          </w:tblCellMar>
        </w:tblPrEx>
        <w:trPr>
          <w:trHeight w:val="1094" w:hRule="atLeast"/>
        </w:trPr>
        <w:tc>
          <w:tcPr>
            <w:tcW w:w="0" w:type="auto"/>
            <w:gridSpan w:val="4"/>
            <w:tcBorders>
              <w:top w:val="nil"/>
              <w:left w:val="nil"/>
              <w:bottom w:val="nil"/>
              <w:right w:val="nil"/>
            </w:tcBorders>
          </w:tcPr>
          <w:p w14:paraId="109EFCF0">
            <w:pPr>
              <w:widowControl w:val="0"/>
              <w:autoSpaceDE w:val="0"/>
              <w:autoSpaceDN w:val="0"/>
              <w:snapToGrid/>
              <w:spacing w:after="0"/>
              <w:rPr>
                <w:rFonts w:ascii="仿宋" w:hAnsi="Arial" w:eastAsia="仿宋" w:cs="仿宋"/>
                <w:color w:val="000000"/>
                <w:sz w:val="24"/>
                <w:szCs w:val="24"/>
              </w:rPr>
            </w:pPr>
            <w:r>
              <w:rPr>
                <w:rFonts w:ascii="仿宋" w:hAnsi="Arial" w:eastAsia="仿宋" w:cs="仿宋"/>
                <w:color w:val="000000"/>
                <w:sz w:val="24"/>
                <w:szCs w:val="24"/>
              </w:rPr>
              <w:t xml:space="preserve">   </w:t>
            </w:r>
            <w:r>
              <w:rPr>
                <w:rFonts w:hint="eastAsia" w:ascii="仿宋" w:hAnsi="Arial" w:eastAsia="仿宋" w:cs="仿宋"/>
                <w:color w:val="000000"/>
                <w:sz w:val="24"/>
                <w:szCs w:val="24"/>
              </w:rPr>
              <w:t>根据福建省卫健委福建省人力资源和社会保障厅福建省物价局联合下发《关于开展规范医院护工管理试点工作的意见》闽卫医【</w:t>
            </w:r>
            <w:r>
              <w:rPr>
                <w:rFonts w:ascii="仿宋" w:hAnsi="Arial" w:eastAsia="仿宋" w:cs="仿宋"/>
                <w:color w:val="000000"/>
                <w:sz w:val="24"/>
                <w:szCs w:val="24"/>
              </w:rPr>
              <w:t>2013</w:t>
            </w:r>
            <w:r>
              <w:rPr>
                <w:rFonts w:hint="eastAsia" w:ascii="仿宋" w:hAnsi="Arial" w:eastAsia="仿宋" w:cs="仿宋"/>
                <w:color w:val="000000"/>
                <w:sz w:val="24"/>
                <w:szCs w:val="24"/>
              </w:rPr>
              <w:t>】</w:t>
            </w:r>
            <w:r>
              <w:rPr>
                <w:rFonts w:ascii="仿宋" w:hAnsi="Arial" w:eastAsia="仿宋" w:cs="仿宋"/>
                <w:color w:val="000000"/>
                <w:sz w:val="24"/>
                <w:szCs w:val="24"/>
              </w:rPr>
              <w:t>68</w:t>
            </w:r>
            <w:r>
              <w:rPr>
                <w:rFonts w:hint="eastAsia" w:ascii="仿宋" w:hAnsi="Arial" w:eastAsia="仿宋" w:cs="仿宋"/>
                <w:color w:val="000000"/>
                <w:sz w:val="24"/>
                <w:szCs w:val="24"/>
              </w:rPr>
              <w:t>号文件精神并结合福建医科大学附属协和医院、福建医科大学附属第一医院、福建省第三人民医院等三级公立医院护理员收费标准，拟定我院护理员收费标准如下：</w:t>
            </w:r>
          </w:p>
        </w:tc>
      </w:tr>
      <w:tr w14:paraId="42A32B77">
        <w:tblPrEx>
          <w:tblCellMar>
            <w:top w:w="0" w:type="dxa"/>
            <w:left w:w="108" w:type="dxa"/>
            <w:bottom w:w="0" w:type="dxa"/>
            <w:right w:w="108" w:type="dxa"/>
          </w:tblCellMar>
        </w:tblPrEx>
        <w:trPr>
          <w:trHeight w:val="362" w:hRule="atLeast"/>
        </w:trPr>
        <w:tc>
          <w:tcPr>
            <w:tcW w:w="0" w:type="auto"/>
            <w:gridSpan w:val="4"/>
            <w:tcBorders>
              <w:top w:val="single" w:color="auto" w:sz="6" w:space="0"/>
              <w:left w:val="single" w:color="auto" w:sz="6" w:space="0"/>
              <w:bottom w:val="single" w:color="auto" w:sz="6" w:space="0"/>
              <w:right w:val="single" w:color="auto" w:sz="6" w:space="0"/>
            </w:tcBorders>
          </w:tcPr>
          <w:p w14:paraId="126B8A3E">
            <w:pPr>
              <w:widowControl w:val="0"/>
              <w:autoSpaceDE w:val="0"/>
              <w:autoSpaceDN w:val="0"/>
              <w:snapToGrid/>
              <w:spacing w:after="0"/>
              <w:jc w:val="center"/>
              <w:rPr>
                <w:rFonts w:ascii="仿宋" w:hAnsi="Arial" w:eastAsia="仿宋" w:cs="仿宋"/>
                <w:b/>
                <w:bCs/>
                <w:color w:val="000000"/>
                <w:sz w:val="28"/>
                <w:szCs w:val="28"/>
              </w:rPr>
            </w:pPr>
            <w:r>
              <w:rPr>
                <w:rFonts w:hint="eastAsia" w:ascii="仿宋" w:hAnsi="Arial" w:eastAsia="仿宋" w:cs="仿宋"/>
                <w:b/>
                <w:bCs/>
                <w:color w:val="000000"/>
                <w:sz w:val="32"/>
                <w:szCs w:val="32"/>
              </w:rPr>
              <w:t>福建省肿瘤医院照护护理模式及收费标准</w:t>
            </w:r>
          </w:p>
        </w:tc>
      </w:tr>
      <w:tr w14:paraId="017F981A">
        <w:tblPrEx>
          <w:tblCellMar>
            <w:top w:w="0" w:type="dxa"/>
            <w:left w:w="108" w:type="dxa"/>
            <w:bottom w:w="0" w:type="dxa"/>
            <w:right w:w="108" w:type="dxa"/>
          </w:tblCellMar>
        </w:tblPrEx>
        <w:trPr>
          <w:trHeight w:val="362" w:hRule="atLeast"/>
        </w:trPr>
        <w:tc>
          <w:tcPr>
            <w:tcW w:w="0" w:type="auto"/>
            <w:tcBorders>
              <w:top w:val="single" w:color="auto" w:sz="6" w:space="0"/>
              <w:left w:val="single" w:color="auto" w:sz="6" w:space="0"/>
              <w:bottom w:val="single" w:color="auto" w:sz="6" w:space="0"/>
              <w:right w:val="single" w:color="auto" w:sz="6" w:space="0"/>
            </w:tcBorders>
          </w:tcPr>
          <w:p w14:paraId="5280A959">
            <w:pPr>
              <w:widowControl w:val="0"/>
              <w:autoSpaceDE w:val="0"/>
              <w:autoSpaceDN w:val="0"/>
              <w:snapToGrid/>
              <w:spacing w:after="0"/>
              <w:jc w:val="center"/>
              <w:rPr>
                <w:rFonts w:ascii="仿宋" w:hAnsi="Arial" w:eastAsia="仿宋" w:cs="仿宋"/>
                <w:b/>
                <w:bCs/>
                <w:color w:val="000000"/>
                <w:sz w:val="28"/>
                <w:szCs w:val="28"/>
              </w:rPr>
            </w:pPr>
            <w:r>
              <w:rPr>
                <w:rFonts w:hint="eastAsia" w:ascii="仿宋" w:hAnsi="Arial" w:eastAsia="仿宋" w:cs="仿宋"/>
                <w:b/>
                <w:bCs/>
                <w:color w:val="000000"/>
                <w:sz w:val="28"/>
                <w:szCs w:val="28"/>
              </w:rPr>
              <w:t>级别</w:t>
            </w:r>
          </w:p>
        </w:tc>
        <w:tc>
          <w:tcPr>
            <w:tcW w:w="0" w:type="auto"/>
            <w:tcBorders>
              <w:top w:val="single" w:color="auto" w:sz="6" w:space="0"/>
              <w:left w:val="single" w:color="auto" w:sz="6" w:space="0"/>
              <w:bottom w:val="single" w:color="auto" w:sz="6" w:space="0"/>
              <w:right w:val="single" w:color="auto" w:sz="6" w:space="0"/>
            </w:tcBorders>
          </w:tcPr>
          <w:p w14:paraId="2CED9626">
            <w:pPr>
              <w:widowControl w:val="0"/>
              <w:autoSpaceDE w:val="0"/>
              <w:autoSpaceDN w:val="0"/>
              <w:snapToGrid/>
              <w:spacing w:after="0"/>
              <w:jc w:val="center"/>
              <w:rPr>
                <w:rFonts w:ascii="仿宋" w:hAnsi="Arial" w:eastAsia="仿宋" w:cs="仿宋"/>
                <w:b/>
                <w:bCs/>
                <w:color w:val="000000"/>
                <w:sz w:val="28"/>
                <w:szCs w:val="28"/>
              </w:rPr>
            </w:pPr>
            <w:r>
              <w:rPr>
                <w:rFonts w:hint="eastAsia" w:ascii="仿宋" w:hAnsi="Arial" w:eastAsia="仿宋" w:cs="仿宋"/>
                <w:b/>
                <w:bCs/>
                <w:color w:val="000000"/>
                <w:sz w:val="28"/>
                <w:szCs w:val="28"/>
              </w:rPr>
              <w:t>适用范围</w:t>
            </w:r>
          </w:p>
        </w:tc>
        <w:tc>
          <w:tcPr>
            <w:tcW w:w="0" w:type="auto"/>
            <w:tcBorders>
              <w:top w:val="single" w:color="auto" w:sz="6" w:space="0"/>
              <w:left w:val="single" w:color="auto" w:sz="6" w:space="0"/>
              <w:bottom w:val="single" w:color="auto" w:sz="6" w:space="0"/>
              <w:right w:val="single" w:color="auto" w:sz="6" w:space="0"/>
            </w:tcBorders>
          </w:tcPr>
          <w:p w14:paraId="31A5E8FA">
            <w:pPr>
              <w:widowControl w:val="0"/>
              <w:autoSpaceDE w:val="0"/>
              <w:autoSpaceDN w:val="0"/>
              <w:snapToGrid/>
              <w:spacing w:after="0"/>
              <w:jc w:val="center"/>
              <w:rPr>
                <w:rFonts w:ascii="仿宋" w:hAnsi="Arial" w:eastAsia="仿宋" w:cs="仿宋"/>
                <w:b/>
                <w:bCs/>
                <w:color w:val="000000"/>
                <w:sz w:val="28"/>
                <w:szCs w:val="28"/>
              </w:rPr>
            </w:pPr>
            <w:r>
              <w:rPr>
                <w:rFonts w:hint="eastAsia" w:ascii="仿宋" w:hAnsi="Arial" w:eastAsia="仿宋" w:cs="仿宋"/>
                <w:b/>
                <w:bCs/>
                <w:color w:val="000000"/>
                <w:sz w:val="28"/>
                <w:szCs w:val="28"/>
              </w:rPr>
              <w:t>服务内容</w:t>
            </w:r>
          </w:p>
        </w:tc>
        <w:tc>
          <w:tcPr>
            <w:tcW w:w="0" w:type="auto"/>
            <w:tcBorders>
              <w:top w:val="single" w:color="auto" w:sz="6" w:space="0"/>
              <w:left w:val="single" w:color="auto" w:sz="6" w:space="0"/>
              <w:bottom w:val="single" w:color="auto" w:sz="6" w:space="0"/>
              <w:right w:val="single" w:color="auto" w:sz="6" w:space="0"/>
            </w:tcBorders>
          </w:tcPr>
          <w:p w14:paraId="44E78900">
            <w:pPr>
              <w:widowControl w:val="0"/>
              <w:autoSpaceDE w:val="0"/>
              <w:autoSpaceDN w:val="0"/>
              <w:snapToGrid/>
              <w:spacing w:after="0"/>
              <w:jc w:val="center"/>
              <w:rPr>
                <w:rFonts w:ascii="仿宋" w:hAnsi="Arial" w:eastAsia="仿宋" w:cs="仿宋"/>
                <w:b/>
                <w:bCs/>
                <w:color w:val="000000"/>
                <w:sz w:val="28"/>
                <w:szCs w:val="28"/>
              </w:rPr>
            </w:pPr>
            <w:r>
              <w:rPr>
                <w:rFonts w:hint="eastAsia" w:ascii="仿宋" w:hAnsi="Arial" w:eastAsia="仿宋" w:cs="仿宋"/>
                <w:b/>
                <w:bCs/>
                <w:color w:val="000000"/>
                <w:sz w:val="28"/>
                <w:szCs w:val="28"/>
              </w:rPr>
              <w:t>限价</w:t>
            </w:r>
          </w:p>
        </w:tc>
      </w:tr>
      <w:tr w14:paraId="0812D937">
        <w:tblPrEx>
          <w:tblCellMar>
            <w:top w:w="0" w:type="dxa"/>
            <w:left w:w="108" w:type="dxa"/>
            <w:bottom w:w="0" w:type="dxa"/>
            <w:right w:w="108" w:type="dxa"/>
          </w:tblCellMar>
        </w:tblPrEx>
        <w:trPr>
          <w:trHeight w:val="3127" w:hRule="atLeast"/>
        </w:trPr>
        <w:tc>
          <w:tcPr>
            <w:tcW w:w="0" w:type="auto"/>
            <w:tcBorders>
              <w:top w:val="single" w:color="auto" w:sz="6" w:space="0"/>
              <w:left w:val="single" w:color="auto" w:sz="6" w:space="0"/>
              <w:bottom w:val="single" w:color="auto" w:sz="6" w:space="0"/>
              <w:right w:val="single" w:color="auto" w:sz="6" w:space="0"/>
            </w:tcBorders>
          </w:tcPr>
          <w:p w14:paraId="16FABB6B">
            <w:pPr>
              <w:widowControl w:val="0"/>
              <w:autoSpaceDE w:val="0"/>
              <w:autoSpaceDN w:val="0"/>
              <w:snapToGrid/>
              <w:spacing w:after="0"/>
              <w:jc w:val="center"/>
              <w:rPr>
                <w:rFonts w:ascii="仿宋_GB2312" w:hAnsi="Arial" w:eastAsia="仿宋_GB2312" w:cs="仿宋_GB2312"/>
                <w:color w:val="000000"/>
                <w:sz w:val="24"/>
                <w:szCs w:val="24"/>
              </w:rPr>
            </w:pPr>
            <w:r>
              <w:rPr>
                <w:rFonts w:ascii="仿宋_GB2312" w:hAnsi="Arial" w:eastAsia="仿宋_GB2312" w:cs="仿宋_GB2312"/>
                <w:color w:val="000000"/>
                <w:sz w:val="24"/>
                <w:szCs w:val="24"/>
              </w:rPr>
              <w:t>C</w:t>
            </w:r>
            <w:r>
              <w:rPr>
                <w:rFonts w:hint="eastAsia" w:ascii="仿宋_GB2312" w:hAnsi="Arial" w:eastAsia="仿宋_GB2312" w:cs="仿宋_GB2312"/>
                <w:color w:val="000000"/>
                <w:sz w:val="24"/>
                <w:szCs w:val="24"/>
              </w:rPr>
              <w:t>级护理</w:t>
            </w:r>
            <w:r>
              <w:rPr>
                <w:rFonts w:ascii="仿宋_GB2312" w:hAnsi="Arial" w:eastAsia="仿宋_GB2312" w:cs="仿宋_GB2312"/>
                <w:color w:val="000000"/>
                <w:sz w:val="24"/>
                <w:szCs w:val="24"/>
              </w:rPr>
              <w:t xml:space="preserve">                     </w:t>
            </w:r>
          </w:p>
          <w:p w14:paraId="2BF4C487">
            <w:pPr>
              <w:widowControl w:val="0"/>
              <w:autoSpaceDE w:val="0"/>
              <w:autoSpaceDN w:val="0"/>
              <w:snapToGrid/>
              <w:spacing w:after="0"/>
              <w:jc w:val="center"/>
              <w:rPr>
                <w:rFonts w:ascii="仿宋_GB2312" w:hAnsi="Arial" w:eastAsia="仿宋_GB2312" w:cs="仿宋_GB2312"/>
                <w:color w:val="000000"/>
                <w:sz w:val="24"/>
                <w:szCs w:val="24"/>
              </w:rPr>
            </w:pPr>
            <w:r>
              <w:rPr>
                <w:rFonts w:hint="eastAsia" w:ascii="仿宋_GB2312" w:hAnsi="Arial" w:eastAsia="仿宋_GB2312" w:cs="仿宋_GB2312"/>
                <w:color w:val="000000"/>
                <w:sz w:val="24"/>
                <w:szCs w:val="24"/>
              </w:rPr>
              <w:t>（一对多）</w:t>
            </w:r>
          </w:p>
        </w:tc>
        <w:tc>
          <w:tcPr>
            <w:tcW w:w="0" w:type="auto"/>
            <w:tcBorders>
              <w:top w:val="single" w:color="auto" w:sz="6" w:space="0"/>
              <w:left w:val="single" w:color="auto" w:sz="6" w:space="0"/>
              <w:bottom w:val="single" w:color="auto" w:sz="6" w:space="0"/>
              <w:right w:val="single" w:color="auto" w:sz="6" w:space="0"/>
            </w:tcBorders>
          </w:tcPr>
          <w:p w14:paraId="6824270D">
            <w:pPr>
              <w:widowControl w:val="0"/>
              <w:autoSpaceDE w:val="0"/>
              <w:autoSpaceDN w:val="0"/>
              <w:snapToGrid/>
              <w:spacing w:after="0"/>
              <w:rPr>
                <w:rFonts w:ascii="仿宋_GB2312" w:hAnsi="Arial" w:eastAsia="仿宋_GB2312" w:cs="仿宋_GB2312"/>
                <w:color w:val="000000"/>
                <w:sz w:val="24"/>
                <w:szCs w:val="24"/>
              </w:rPr>
            </w:pPr>
            <w:r>
              <w:rPr>
                <w:rFonts w:hint="eastAsia" w:ascii="仿宋_GB2312" w:hAnsi="Arial" w:eastAsia="仿宋_GB2312" w:cs="仿宋_GB2312"/>
                <w:color w:val="000000"/>
                <w:sz w:val="24"/>
                <w:szCs w:val="24"/>
              </w:rPr>
              <w:t>部分生活不能自理患者（能正常如厕）</w:t>
            </w:r>
          </w:p>
        </w:tc>
        <w:tc>
          <w:tcPr>
            <w:tcW w:w="0" w:type="auto"/>
            <w:tcBorders>
              <w:top w:val="single" w:color="auto" w:sz="6" w:space="0"/>
              <w:left w:val="single" w:color="auto" w:sz="6" w:space="0"/>
              <w:bottom w:val="single" w:color="auto" w:sz="6" w:space="0"/>
              <w:right w:val="single" w:color="auto" w:sz="6" w:space="0"/>
            </w:tcBorders>
          </w:tcPr>
          <w:p w14:paraId="4DFB022A">
            <w:pPr>
              <w:widowControl w:val="0"/>
              <w:autoSpaceDE w:val="0"/>
              <w:autoSpaceDN w:val="0"/>
              <w:snapToGrid/>
              <w:spacing w:after="0"/>
              <w:rPr>
                <w:rFonts w:ascii="仿宋_GB2312" w:hAnsi="Arial" w:eastAsia="仿宋_GB2312" w:cs="仿宋_GB2312"/>
                <w:color w:val="000000"/>
                <w:sz w:val="24"/>
                <w:szCs w:val="24"/>
              </w:rPr>
            </w:pPr>
            <w:r>
              <w:rPr>
                <w:rFonts w:ascii="仿宋_GB2312" w:hAnsi="Arial" w:eastAsia="仿宋_GB2312" w:cs="仿宋_GB2312"/>
                <w:color w:val="000000"/>
                <w:sz w:val="24"/>
                <w:szCs w:val="24"/>
              </w:rPr>
              <w:t>1.</w:t>
            </w:r>
            <w:r>
              <w:rPr>
                <w:rFonts w:hint="eastAsia" w:ascii="仿宋_GB2312" w:hAnsi="Arial" w:eastAsia="仿宋_GB2312" w:cs="仿宋_GB2312"/>
                <w:color w:val="000000"/>
                <w:sz w:val="24"/>
                <w:szCs w:val="24"/>
              </w:rPr>
              <w:t>保证病室整洁：整理床单位、协助将患者个人用物摆放整齐，床下尿壶、便盆等不落地。</w:t>
            </w:r>
          </w:p>
          <w:p w14:paraId="318EDEB9">
            <w:pPr>
              <w:widowControl w:val="0"/>
              <w:autoSpaceDE w:val="0"/>
              <w:autoSpaceDN w:val="0"/>
              <w:snapToGrid/>
              <w:spacing w:after="0"/>
              <w:rPr>
                <w:rFonts w:ascii="仿宋_GB2312" w:hAnsi="Arial" w:eastAsia="仿宋_GB2312" w:cs="仿宋_GB2312"/>
                <w:color w:val="000000"/>
                <w:sz w:val="24"/>
                <w:szCs w:val="24"/>
              </w:rPr>
            </w:pPr>
            <w:r>
              <w:rPr>
                <w:rFonts w:ascii="仿宋_GB2312" w:hAnsi="Arial" w:eastAsia="仿宋_GB2312" w:cs="仿宋_GB2312"/>
                <w:color w:val="000000"/>
                <w:sz w:val="24"/>
                <w:szCs w:val="24"/>
              </w:rPr>
              <w:t>2.</w:t>
            </w:r>
            <w:r>
              <w:rPr>
                <w:rFonts w:hint="eastAsia" w:ascii="仿宋_GB2312" w:hAnsi="Arial" w:eastAsia="仿宋_GB2312" w:cs="仿宋_GB2312"/>
                <w:color w:val="000000"/>
                <w:sz w:val="24"/>
                <w:szCs w:val="24"/>
              </w:rPr>
              <w:t>保证患者清洁：协助患者洗漱、擦身、更换衣裤、洗头、修剪指甲、剃胡须。</w:t>
            </w:r>
          </w:p>
          <w:p w14:paraId="51033466">
            <w:pPr>
              <w:widowControl w:val="0"/>
              <w:autoSpaceDE w:val="0"/>
              <w:autoSpaceDN w:val="0"/>
              <w:snapToGrid/>
              <w:spacing w:after="0"/>
              <w:rPr>
                <w:rFonts w:ascii="仿宋_GB2312" w:hAnsi="Arial" w:eastAsia="仿宋_GB2312" w:cs="仿宋_GB2312"/>
                <w:color w:val="000000"/>
                <w:sz w:val="24"/>
                <w:szCs w:val="24"/>
              </w:rPr>
            </w:pPr>
            <w:r>
              <w:rPr>
                <w:rFonts w:ascii="仿宋_GB2312" w:hAnsi="Arial" w:eastAsia="仿宋_GB2312" w:cs="仿宋_GB2312"/>
                <w:color w:val="000000"/>
                <w:sz w:val="24"/>
                <w:szCs w:val="24"/>
              </w:rPr>
              <w:t>3.</w:t>
            </w:r>
            <w:r>
              <w:rPr>
                <w:rFonts w:hint="eastAsia" w:ascii="仿宋_GB2312" w:hAnsi="Arial" w:eastAsia="仿宋_GB2312" w:cs="仿宋_GB2312"/>
                <w:color w:val="000000"/>
                <w:sz w:val="24"/>
                <w:szCs w:val="24"/>
              </w:rPr>
              <w:t>促进患者舒适：协助患者打饭、进食、饮水，协助患者翻身、拍背。</w:t>
            </w:r>
          </w:p>
          <w:p w14:paraId="02FE1B0E">
            <w:pPr>
              <w:widowControl w:val="0"/>
              <w:autoSpaceDE w:val="0"/>
              <w:autoSpaceDN w:val="0"/>
              <w:snapToGrid/>
              <w:spacing w:after="0"/>
              <w:rPr>
                <w:rFonts w:ascii="仿宋_GB2312" w:hAnsi="Arial" w:eastAsia="仿宋_GB2312" w:cs="仿宋_GB2312"/>
                <w:color w:val="000000"/>
                <w:sz w:val="24"/>
                <w:szCs w:val="24"/>
              </w:rPr>
            </w:pPr>
            <w:r>
              <w:rPr>
                <w:rFonts w:ascii="仿宋_GB2312" w:hAnsi="Arial" w:eastAsia="仿宋_GB2312" w:cs="仿宋_GB2312"/>
                <w:color w:val="000000"/>
                <w:sz w:val="24"/>
                <w:szCs w:val="24"/>
              </w:rPr>
              <w:t>4.</w:t>
            </w:r>
            <w:r>
              <w:rPr>
                <w:rFonts w:hint="eastAsia" w:ascii="仿宋_GB2312" w:hAnsi="Arial" w:eastAsia="仿宋_GB2312" w:cs="仿宋_GB2312"/>
                <w:color w:val="000000"/>
                <w:sz w:val="24"/>
                <w:szCs w:val="24"/>
              </w:rPr>
              <w:t>维护患者安全：协助患者床椅移动、协助患者使用轮椅、平车等转运工具。</w:t>
            </w:r>
          </w:p>
          <w:p w14:paraId="69608E13">
            <w:pPr>
              <w:widowControl w:val="0"/>
              <w:autoSpaceDE w:val="0"/>
              <w:autoSpaceDN w:val="0"/>
              <w:snapToGrid/>
              <w:spacing w:after="0"/>
              <w:rPr>
                <w:rFonts w:ascii="仿宋_GB2312" w:hAnsi="Arial" w:eastAsia="仿宋_GB2312" w:cs="仿宋_GB2312"/>
                <w:color w:val="000000"/>
                <w:sz w:val="24"/>
                <w:szCs w:val="24"/>
              </w:rPr>
            </w:pPr>
            <w:r>
              <w:rPr>
                <w:rFonts w:ascii="仿宋_GB2312" w:hAnsi="Arial" w:eastAsia="仿宋_GB2312" w:cs="仿宋_GB2312"/>
                <w:color w:val="000000"/>
                <w:sz w:val="24"/>
                <w:szCs w:val="24"/>
              </w:rPr>
              <w:t>5.</w:t>
            </w:r>
            <w:r>
              <w:rPr>
                <w:rFonts w:hint="eastAsia" w:ascii="仿宋_GB2312" w:hAnsi="Arial" w:eastAsia="仿宋_GB2312" w:cs="仿宋_GB2312"/>
                <w:color w:val="000000"/>
                <w:sz w:val="24"/>
                <w:szCs w:val="24"/>
              </w:rPr>
              <w:t>在医护人员的指导下，注意患者病情、输液情况的观察、保持各管路通畅，发现异常及时告知医护人员。</w:t>
            </w:r>
            <w:r>
              <w:rPr>
                <w:rFonts w:ascii="仿宋_GB2312" w:hAnsi="Arial" w:eastAsia="仿宋_GB2312" w:cs="仿宋_GB2312"/>
                <w:color w:val="000000"/>
                <w:sz w:val="24"/>
                <w:szCs w:val="24"/>
              </w:rPr>
              <w:t xml:space="preserve">                                  </w:t>
            </w:r>
            <w:r>
              <w:rPr>
                <w:rFonts w:ascii="仿宋_GB2312" w:hAnsi="Arial" w:eastAsia="仿宋_GB2312" w:cs="仿宋_GB2312"/>
                <w:b/>
                <w:bCs/>
                <w:color w:val="000000"/>
                <w:sz w:val="24"/>
                <w:szCs w:val="24"/>
              </w:rPr>
              <w:t>6.</w:t>
            </w:r>
            <w:r>
              <w:rPr>
                <w:rFonts w:hint="eastAsia" w:ascii="仿宋_GB2312" w:hAnsi="Arial" w:eastAsia="仿宋_GB2312" w:cs="仿宋_GB2312"/>
                <w:b/>
                <w:bCs/>
                <w:color w:val="000000"/>
                <w:sz w:val="24"/>
                <w:szCs w:val="24"/>
              </w:rPr>
              <w:t>每班定时巡视，</w:t>
            </w:r>
            <w:r>
              <w:rPr>
                <w:rFonts w:ascii="仿宋_GB2312" w:hAnsi="Arial" w:eastAsia="仿宋_GB2312" w:cs="仿宋_GB2312"/>
                <w:b/>
                <w:bCs/>
                <w:color w:val="000000"/>
                <w:sz w:val="24"/>
                <w:szCs w:val="24"/>
              </w:rPr>
              <w:t>12</w:t>
            </w:r>
            <w:r>
              <w:rPr>
                <w:rFonts w:hint="eastAsia" w:ascii="仿宋_GB2312" w:hAnsi="Arial" w:eastAsia="仿宋_GB2312" w:cs="仿宋_GB2312"/>
                <w:b/>
                <w:bCs/>
                <w:color w:val="000000"/>
                <w:sz w:val="24"/>
                <w:szCs w:val="24"/>
              </w:rPr>
              <w:t>小时轮班服务。</w:t>
            </w:r>
          </w:p>
          <w:p w14:paraId="38374C44">
            <w:pPr>
              <w:widowControl w:val="0"/>
              <w:autoSpaceDE w:val="0"/>
              <w:autoSpaceDN w:val="0"/>
              <w:snapToGrid/>
              <w:spacing w:after="0"/>
              <w:rPr>
                <w:rFonts w:ascii="仿宋_GB2312" w:hAnsi="Arial" w:eastAsia="仿宋_GB2312" w:cs="仿宋_GB2312"/>
                <w:color w:val="000000"/>
                <w:sz w:val="24"/>
                <w:szCs w:val="24"/>
              </w:rPr>
            </w:pPr>
          </w:p>
        </w:tc>
        <w:tc>
          <w:tcPr>
            <w:tcW w:w="0" w:type="auto"/>
            <w:tcBorders>
              <w:top w:val="single" w:color="auto" w:sz="6" w:space="0"/>
              <w:left w:val="single" w:color="auto" w:sz="6" w:space="0"/>
              <w:bottom w:val="single" w:color="auto" w:sz="6" w:space="0"/>
              <w:right w:val="single" w:color="auto" w:sz="6" w:space="0"/>
            </w:tcBorders>
          </w:tcPr>
          <w:p w14:paraId="3C75A39F">
            <w:pPr>
              <w:widowControl w:val="0"/>
              <w:autoSpaceDE w:val="0"/>
              <w:autoSpaceDN w:val="0"/>
              <w:snapToGrid/>
              <w:spacing w:after="0"/>
              <w:rPr>
                <w:rFonts w:ascii="仿宋_GB2312" w:hAnsi="Arial" w:eastAsia="仿宋_GB2312" w:cs="仿宋_GB2312"/>
                <w:color w:val="000000"/>
                <w:sz w:val="24"/>
                <w:szCs w:val="24"/>
              </w:rPr>
            </w:pPr>
            <w:r>
              <w:rPr>
                <w:rFonts w:ascii="仿宋_GB2312" w:hAnsi="Arial" w:eastAsia="仿宋_GB2312" w:cs="仿宋_GB2312"/>
                <w:color w:val="000000"/>
                <w:sz w:val="24"/>
                <w:szCs w:val="24"/>
              </w:rPr>
              <w:t>180</w:t>
            </w:r>
            <w:r>
              <w:rPr>
                <w:rFonts w:hint="eastAsia" w:ascii="仿宋_GB2312" w:hAnsi="Arial" w:eastAsia="仿宋_GB2312" w:cs="仿宋_GB2312"/>
                <w:color w:val="000000"/>
                <w:sz w:val="24"/>
                <w:szCs w:val="24"/>
              </w:rPr>
              <w:t>元</w:t>
            </w:r>
            <w:r>
              <w:rPr>
                <w:rFonts w:ascii="仿宋_GB2312" w:hAnsi="Arial" w:eastAsia="仿宋_GB2312" w:cs="仿宋_GB2312"/>
                <w:color w:val="000000"/>
                <w:sz w:val="24"/>
                <w:szCs w:val="24"/>
              </w:rPr>
              <w:t>/</w:t>
            </w:r>
            <w:r>
              <w:rPr>
                <w:rFonts w:hint="eastAsia" w:ascii="仿宋_GB2312" w:hAnsi="Arial" w:eastAsia="仿宋_GB2312" w:cs="仿宋_GB2312"/>
                <w:color w:val="000000"/>
                <w:sz w:val="24"/>
                <w:szCs w:val="24"/>
              </w:rPr>
              <w:t>天</w:t>
            </w:r>
          </w:p>
        </w:tc>
      </w:tr>
      <w:tr w14:paraId="6EBAA5F9">
        <w:tblPrEx>
          <w:tblCellMar>
            <w:top w:w="0" w:type="dxa"/>
            <w:left w:w="108" w:type="dxa"/>
            <w:bottom w:w="0" w:type="dxa"/>
            <w:right w:w="108" w:type="dxa"/>
          </w:tblCellMar>
        </w:tblPrEx>
        <w:trPr>
          <w:trHeight w:val="3322" w:hRule="atLeast"/>
        </w:trPr>
        <w:tc>
          <w:tcPr>
            <w:tcW w:w="0" w:type="auto"/>
            <w:tcBorders>
              <w:top w:val="single" w:color="auto" w:sz="6" w:space="0"/>
              <w:left w:val="single" w:color="auto" w:sz="6" w:space="0"/>
              <w:bottom w:val="single" w:color="auto" w:sz="6" w:space="0"/>
              <w:right w:val="single" w:color="auto" w:sz="6" w:space="0"/>
            </w:tcBorders>
          </w:tcPr>
          <w:p w14:paraId="5623CD46">
            <w:pPr>
              <w:widowControl w:val="0"/>
              <w:autoSpaceDE w:val="0"/>
              <w:autoSpaceDN w:val="0"/>
              <w:snapToGrid/>
              <w:spacing w:after="0"/>
              <w:jc w:val="center"/>
              <w:rPr>
                <w:rFonts w:ascii="仿宋_GB2312" w:hAnsi="Arial" w:eastAsia="仿宋_GB2312" w:cs="仿宋_GB2312"/>
                <w:color w:val="000000"/>
                <w:sz w:val="24"/>
                <w:szCs w:val="24"/>
              </w:rPr>
            </w:pPr>
            <w:r>
              <w:rPr>
                <w:rFonts w:ascii="仿宋_GB2312" w:hAnsi="Arial" w:eastAsia="仿宋_GB2312" w:cs="仿宋_GB2312"/>
                <w:color w:val="000000"/>
                <w:sz w:val="24"/>
                <w:szCs w:val="24"/>
              </w:rPr>
              <w:t>B</w:t>
            </w:r>
            <w:r>
              <w:rPr>
                <w:rFonts w:hint="eastAsia" w:ascii="仿宋_GB2312" w:hAnsi="Arial" w:eastAsia="仿宋_GB2312" w:cs="仿宋_GB2312"/>
                <w:color w:val="000000"/>
                <w:sz w:val="24"/>
                <w:szCs w:val="24"/>
              </w:rPr>
              <w:t>级护理</w:t>
            </w:r>
            <w:r>
              <w:rPr>
                <w:rFonts w:ascii="仿宋_GB2312" w:hAnsi="Arial" w:eastAsia="仿宋_GB2312" w:cs="仿宋_GB2312"/>
                <w:color w:val="000000"/>
                <w:sz w:val="24"/>
                <w:szCs w:val="24"/>
              </w:rPr>
              <w:t xml:space="preserve">                     </w:t>
            </w:r>
            <w:r>
              <w:rPr>
                <w:rFonts w:hint="eastAsia" w:ascii="仿宋_GB2312" w:hAnsi="Arial" w:eastAsia="仿宋_GB2312" w:cs="仿宋_GB2312"/>
                <w:color w:val="000000"/>
                <w:sz w:val="24"/>
                <w:szCs w:val="24"/>
              </w:rPr>
              <w:t>（一对一）</w:t>
            </w:r>
          </w:p>
        </w:tc>
        <w:tc>
          <w:tcPr>
            <w:tcW w:w="0" w:type="auto"/>
            <w:tcBorders>
              <w:top w:val="single" w:color="auto" w:sz="6" w:space="0"/>
              <w:left w:val="single" w:color="auto" w:sz="6" w:space="0"/>
              <w:bottom w:val="single" w:color="auto" w:sz="6" w:space="0"/>
              <w:right w:val="single" w:color="auto" w:sz="6" w:space="0"/>
            </w:tcBorders>
          </w:tcPr>
          <w:p w14:paraId="3686DC68">
            <w:pPr>
              <w:widowControl w:val="0"/>
              <w:autoSpaceDE w:val="0"/>
              <w:autoSpaceDN w:val="0"/>
              <w:snapToGrid/>
              <w:spacing w:after="0"/>
              <w:rPr>
                <w:rFonts w:ascii="仿宋_GB2312" w:hAnsi="Arial" w:eastAsia="仿宋_GB2312" w:cs="仿宋_GB2312"/>
                <w:color w:val="000000"/>
                <w:sz w:val="24"/>
                <w:szCs w:val="24"/>
              </w:rPr>
            </w:pPr>
            <w:r>
              <w:rPr>
                <w:rFonts w:hint="eastAsia" w:ascii="仿宋_GB2312" w:hAnsi="Arial" w:eastAsia="仿宋_GB2312" w:cs="仿宋_GB2312"/>
                <w:color w:val="000000"/>
                <w:sz w:val="24"/>
                <w:szCs w:val="24"/>
              </w:rPr>
              <w:t>生活基本不能自理患者（需协助如厕）</w:t>
            </w:r>
          </w:p>
        </w:tc>
        <w:tc>
          <w:tcPr>
            <w:tcW w:w="0" w:type="auto"/>
            <w:tcBorders>
              <w:top w:val="single" w:color="auto" w:sz="6" w:space="0"/>
              <w:left w:val="single" w:color="auto" w:sz="6" w:space="0"/>
              <w:bottom w:val="single" w:color="auto" w:sz="6" w:space="0"/>
              <w:right w:val="single" w:color="auto" w:sz="6" w:space="0"/>
            </w:tcBorders>
          </w:tcPr>
          <w:p w14:paraId="6EC263C9">
            <w:pPr>
              <w:widowControl w:val="0"/>
              <w:autoSpaceDE w:val="0"/>
              <w:autoSpaceDN w:val="0"/>
              <w:snapToGrid/>
              <w:spacing w:after="0"/>
              <w:rPr>
                <w:rFonts w:ascii="仿宋_GB2312" w:hAnsi="Arial" w:eastAsia="仿宋_GB2312" w:cs="仿宋_GB2312"/>
                <w:color w:val="000000"/>
                <w:sz w:val="24"/>
                <w:szCs w:val="24"/>
              </w:rPr>
            </w:pPr>
            <w:r>
              <w:rPr>
                <w:rFonts w:ascii="仿宋_GB2312" w:hAnsi="Arial" w:eastAsia="仿宋_GB2312" w:cs="仿宋_GB2312"/>
                <w:color w:val="000000"/>
                <w:sz w:val="24"/>
                <w:szCs w:val="24"/>
              </w:rPr>
              <w:t>1.</w:t>
            </w:r>
            <w:r>
              <w:rPr>
                <w:rFonts w:hint="eastAsia" w:ascii="仿宋_GB2312" w:hAnsi="Arial" w:eastAsia="仿宋_GB2312" w:cs="仿宋_GB2312"/>
                <w:color w:val="000000"/>
                <w:sz w:val="24"/>
                <w:szCs w:val="24"/>
              </w:rPr>
              <w:t>保证病室整洁：整理床单位、协助将患者个人用物摆放整齐，床下尿壶、便盆等不落地。</w:t>
            </w:r>
          </w:p>
          <w:p w14:paraId="327B0657">
            <w:pPr>
              <w:widowControl w:val="0"/>
              <w:autoSpaceDE w:val="0"/>
              <w:autoSpaceDN w:val="0"/>
              <w:snapToGrid/>
              <w:spacing w:after="0"/>
              <w:rPr>
                <w:rFonts w:ascii="仿宋_GB2312" w:hAnsi="Arial" w:eastAsia="仿宋_GB2312" w:cs="仿宋_GB2312"/>
                <w:color w:val="000000"/>
                <w:sz w:val="24"/>
                <w:szCs w:val="24"/>
              </w:rPr>
            </w:pPr>
            <w:r>
              <w:rPr>
                <w:rFonts w:ascii="仿宋_GB2312" w:hAnsi="Arial" w:eastAsia="仿宋_GB2312" w:cs="仿宋_GB2312"/>
                <w:color w:val="000000"/>
                <w:sz w:val="24"/>
                <w:szCs w:val="24"/>
              </w:rPr>
              <w:t>2.</w:t>
            </w:r>
            <w:r>
              <w:rPr>
                <w:rFonts w:hint="eastAsia" w:ascii="仿宋_GB2312" w:hAnsi="Arial" w:eastAsia="仿宋_GB2312" w:cs="仿宋_GB2312"/>
                <w:color w:val="000000"/>
                <w:sz w:val="24"/>
                <w:szCs w:val="24"/>
              </w:rPr>
              <w:t>保证患者清洁：协助患者洗漱、擦身、更换衣裤、洗头、修剪指甲、剃胡须，</w:t>
            </w:r>
            <w:r>
              <w:rPr>
                <w:rFonts w:hint="eastAsia" w:ascii="仿宋_GB2312" w:hAnsi="Arial" w:eastAsia="仿宋_GB2312" w:cs="仿宋_GB2312"/>
                <w:b/>
                <w:bCs/>
                <w:color w:val="000000"/>
                <w:sz w:val="24"/>
                <w:szCs w:val="24"/>
              </w:rPr>
              <w:t>为二便失禁患者做好会阴部、肛周的清洁。</w:t>
            </w:r>
          </w:p>
          <w:p w14:paraId="34AEF5DF">
            <w:pPr>
              <w:widowControl w:val="0"/>
              <w:autoSpaceDE w:val="0"/>
              <w:autoSpaceDN w:val="0"/>
              <w:snapToGrid/>
              <w:spacing w:after="0"/>
              <w:rPr>
                <w:rFonts w:ascii="仿宋_GB2312" w:hAnsi="Arial" w:eastAsia="仿宋_GB2312" w:cs="仿宋_GB2312"/>
                <w:color w:val="000000"/>
                <w:sz w:val="24"/>
                <w:szCs w:val="24"/>
              </w:rPr>
            </w:pPr>
            <w:r>
              <w:rPr>
                <w:rFonts w:ascii="仿宋_GB2312" w:hAnsi="Arial" w:eastAsia="仿宋_GB2312" w:cs="仿宋_GB2312"/>
                <w:color w:val="000000"/>
                <w:sz w:val="24"/>
                <w:szCs w:val="24"/>
              </w:rPr>
              <w:t>3.</w:t>
            </w:r>
            <w:r>
              <w:rPr>
                <w:rFonts w:hint="eastAsia" w:ascii="仿宋_GB2312" w:hAnsi="Arial" w:eastAsia="仿宋_GB2312" w:cs="仿宋_GB2312"/>
                <w:color w:val="000000"/>
                <w:sz w:val="24"/>
                <w:szCs w:val="24"/>
              </w:rPr>
              <w:t>促进患者舒适：协助患者打饭、进食、饮水，协助患者翻身、拍背。</w:t>
            </w:r>
          </w:p>
          <w:p w14:paraId="371B43AE">
            <w:pPr>
              <w:widowControl w:val="0"/>
              <w:autoSpaceDE w:val="0"/>
              <w:autoSpaceDN w:val="0"/>
              <w:snapToGrid/>
              <w:spacing w:after="0"/>
              <w:rPr>
                <w:rFonts w:ascii="仿宋_GB2312" w:hAnsi="Arial" w:eastAsia="仿宋_GB2312" w:cs="仿宋_GB2312"/>
                <w:color w:val="000000"/>
                <w:sz w:val="24"/>
                <w:szCs w:val="24"/>
              </w:rPr>
            </w:pPr>
            <w:r>
              <w:rPr>
                <w:rFonts w:ascii="仿宋_GB2312" w:hAnsi="Arial" w:eastAsia="仿宋_GB2312" w:cs="仿宋_GB2312"/>
                <w:color w:val="000000"/>
                <w:sz w:val="24"/>
                <w:szCs w:val="24"/>
              </w:rPr>
              <w:t>4.</w:t>
            </w:r>
            <w:r>
              <w:rPr>
                <w:rFonts w:hint="eastAsia" w:ascii="仿宋_GB2312" w:hAnsi="Arial" w:eastAsia="仿宋_GB2312" w:cs="仿宋_GB2312"/>
                <w:color w:val="000000"/>
                <w:sz w:val="24"/>
                <w:szCs w:val="24"/>
              </w:rPr>
              <w:t>维护患者安全：协助患者</w:t>
            </w:r>
            <w:r>
              <w:rPr>
                <w:rFonts w:hint="eastAsia" w:ascii="仿宋_GB2312" w:hAnsi="Arial" w:eastAsia="仿宋_GB2312" w:cs="仿宋_GB2312"/>
                <w:b/>
                <w:bCs/>
                <w:color w:val="000000"/>
                <w:sz w:val="24"/>
                <w:szCs w:val="24"/>
              </w:rPr>
              <w:t>如厕</w:t>
            </w:r>
            <w:r>
              <w:rPr>
                <w:rFonts w:hint="eastAsia" w:ascii="仿宋_GB2312" w:hAnsi="Arial" w:eastAsia="仿宋_GB2312" w:cs="仿宋_GB2312"/>
                <w:color w:val="000000"/>
                <w:sz w:val="24"/>
                <w:szCs w:val="24"/>
              </w:rPr>
              <w:t>、床椅移动、协助患者使用轮椅、平车等转运工具。</w:t>
            </w:r>
          </w:p>
          <w:p w14:paraId="2C00319F">
            <w:pPr>
              <w:widowControl w:val="0"/>
              <w:autoSpaceDE w:val="0"/>
              <w:autoSpaceDN w:val="0"/>
              <w:snapToGrid/>
              <w:spacing w:after="0"/>
              <w:rPr>
                <w:rFonts w:ascii="仿宋_GB2312" w:hAnsi="Arial" w:eastAsia="仿宋_GB2312" w:cs="仿宋_GB2312"/>
                <w:color w:val="000000"/>
                <w:sz w:val="24"/>
                <w:szCs w:val="24"/>
              </w:rPr>
            </w:pPr>
            <w:r>
              <w:rPr>
                <w:rFonts w:ascii="仿宋_GB2312" w:hAnsi="Arial" w:eastAsia="仿宋_GB2312" w:cs="仿宋_GB2312"/>
                <w:color w:val="000000"/>
                <w:sz w:val="24"/>
                <w:szCs w:val="24"/>
              </w:rPr>
              <w:t>5.</w:t>
            </w:r>
            <w:r>
              <w:rPr>
                <w:rFonts w:ascii="仿宋_GB2312" w:hAnsi="Arial" w:eastAsia="仿宋_GB2312" w:cs="仿宋_GB2312"/>
                <w:b/>
                <w:bCs/>
                <w:color w:val="000000"/>
                <w:sz w:val="24"/>
                <w:szCs w:val="24"/>
              </w:rPr>
              <w:t>24</w:t>
            </w:r>
            <w:r>
              <w:rPr>
                <w:rFonts w:hint="eastAsia" w:ascii="仿宋_GB2312" w:hAnsi="Arial" w:eastAsia="仿宋_GB2312" w:cs="仿宋_GB2312"/>
                <w:b/>
                <w:bCs/>
                <w:color w:val="000000"/>
                <w:sz w:val="24"/>
                <w:szCs w:val="24"/>
              </w:rPr>
              <w:t>小时陪护，</w:t>
            </w:r>
            <w:r>
              <w:rPr>
                <w:rFonts w:hint="eastAsia" w:ascii="仿宋_GB2312" w:hAnsi="Arial" w:eastAsia="仿宋_GB2312" w:cs="仿宋_GB2312"/>
                <w:color w:val="000000"/>
                <w:sz w:val="24"/>
                <w:szCs w:val="24"/>
              </w:rPr>
              <w:t>在医护人员的指导下，注意患者病情、输液情况的观察、保持各管路通畅，发现异常及时告知医护人员。</w:t>
            </w:r>
          </w:p>
          <w:p w14:paraId="1E7C5836">
            <w:pPr>
              <w:widowControl w:val="0"/>
              <w:autoSpaceDE w:val="0"/>
              <w:autoSpaceDN w:val="0"/>
              <w:snapToGrid/>
              <w:spacing w:after="0"/>
              <w:rPr>
                <w:rFonts w:ascii="仿宋_GB2312" w:hAnsi="Arial" w:eastAsia="仿宋_GB2312" w:cs="仿宋_GB2312"/>
                <w:b/>
                <w:bCs/>
                <w:color w:val="000000"/>
                <w:sz w:val="24"/>
                <w:szCs w:val="24"/>
              </w:rPr>
            </w:pPr>
            <w:r>
              <w:rPr>
                <w:rFonts w:ascii="仿宋_GB2312" w:hAnsi="Arial" w:eastAsia="仿宋_GB2312" w:cs="仿宋_GB2312"/>
                <w:b/>
                <w:bCs/>
                <w:color w:val="000000"/>
                <w:sz w:val="24"/>
                <w:szCs w:val="24"/>
              </w:rPr>
              <w:t>6.</w:t>
            </w:r>
            <w:r>
              <w:rPr>
                <w:rFonts w:hint="eastAsia" w:ascii="仿宋_GB2312" w:hAnsi="Arial" w:eastAsia="仿宋_GB2312" w:cs="仿宋_GB2312"/>
                <w:b/>
                <w:bCs/>
                <w:color w:val="000000"/>
                <w:sz w:val="24"/>
                <w:szCs w:val="24"/>
              </w:rPr>
              <w:t>陪同患者进行相关检查。</w:t>
            </w:r>
          </w:p>
        </w:tc>
        <w:tc>
          <w:tcPr>
            <w:tcW w:w="0" w:type="auto"/>
            <w:tcBorders>
              <w:top w:val="single" w:color="auto" w:sz="6" w:space="0"/>
              <w:left w:val="single" w:color="auto" w:sz="6" w:space="0"/>
              <w:bottom w:val="single" w:color="auto" w:sz="6" w:space="0"/>
              <w:right w:val="single" w:color="auto" w:sz="6" w:space="0"/>
            </w:tcBorders>
          </w:tcPr>
          <w:p w14:paraId="2350D2FB">
            <w:pPr>
              <w:widowControl w:val="0"/>
              <w:autoSpaceDE w:val="0"/>
              <w:autoSpaceDN w:val="0"/>
              <w:snapToGrid/>
              <w:spacing w:after="0"/>
              <w:rPr>
                <w:rFonts w:ascii="仿宋_GB2312" w:hAnsi="Arial" w:eastAsia="仿宋_GB2312" w:cs="仿宋_GB2312"/>
                <w:color w:val="000000"/>
                <w:sz w:val="24"/>
                <w:szCs w:val="24"/>
              </w:rPr>
            </w:pPr>
            <w:r>
              <w:rPr>
                <w:rFonts w:ascii="仿宋_GB2312" w:hAnsi="Arial" w:eastAsia="仿宋_GB2312" w:cs="仿宋_GB2312"/>
                <w:color w:val="000000"/>
                <w:sz w:val="24"/>
                <w:szCs w:val="24"/>
              </w:rPr>
              <w:t>240</w:t>
            </w:r>
            <w:r>
              <w:rPr>
                <w:rFonts w:hint="eastAsia" w:ascii="仿宋_GB2312" w:hAnsi="Arial" w:eastAsia="仿宋_GB2312" w:cs="仿宋_GB2312"/>
                <w:color w:val="000000"/>
                <w:sz w:val="24"/>
                <w:szCs w:val="24"/>
              </w:rPr>
              <w:t>元</w:t>
            </w:r>
            <w:r>
              <w:rPr>
                <w:rFonts w:ascii="仿宋_GB2312" w:hAnsi="Arial" w:eastAsia="仿宋_GB2312" w:cs="仿宋_GB2312"/>
                <w:color w:val="000000"/>
                <w:sz w:val="24"/>
                <w:szCs w:val="24"/>
              </w:rPr>
              <w:t>/</w:t>
            </w:r>
            <w:r>
              <w:rPr>
                <w:rFonts w:hint="eastAsia" w:ascii="仿宋_GB2312" w:hAnsi="Arial" w:eastAsia="仿宋_GB2312" w:cs="仿宋_GB2312"/>
                <w:color w:val="000000"/>
                <w:sz w:val="24"/>
                <w:szCs w:val="24"/>
              </w:rPr>
              <w:t>天</w:t>
            </w:r>
          </w:p>
        </w:tc>
      </w:tr>
      <w:tr w14:paraId="503E1990">
        <w:tblPrEx>
          <w:tblCellMar>
            <w:top w:w="0" w:type="dxa"/>
            <w:left w:w="108" w:type="dxa"/>
            <w:bottom w:w="0" w:type="dxa"/>
            <w:right w:w="108" w:type="dxa"/>
          </w:tblCellMar>
        </w:tblPrEx>
        <w:trPr>
          <w:trHeight w:val="4205" w:hRule="atLeast"/>
        </w:trPr>
        <w:tc>
          <w:tcPr>
            <w:tcW w:w="0" w:type="auto"/>
            <w:tcBorders>
              <w:top w:val="single" w:color="auto" w:sz="6" w:space="0"/>
              <w:left w:val="single" w:color="auto" w:sz="6" w:space="0"/>
              <w:bottom w:val="single" w:color="auto" w:sz="6" w:space="0"/>
              <w:right w:val="single" w:color="auto" w:sz="6" w:space="0"/>
            </w:tcBorders>
          </w:tcPr>
          <w:p w14:paraId="097E238B">
            <w:pPr>
              <w:widowControl w:val="0"/>
              <w:autoSpaceDE w:val="0"/>
              <w:autoSpaceDN w:val="0"/>
              <w:snapToGrid/>
              <w:spacing w:after="0"/>
              <w:jc w:val="center"/>
              <w:rPr>
                <w:rFonts w:ascii="仿宋_GB2312" w:hAnsi="Arial" w:eastAsia="仿宋_GB2312" w:cs="仿宋_GB2312"/>
                <w:color w:val="000000"/>
                <w:sz w:val="24"/>
                <w:szCs w:val="24"/>
              </w:rPr>
            </w:pPr>
            <w:r>
              <w:rPr>
                <w:rFonts w:ascii="仿宋_GB2312" w:hAnsi="Arial" w:eastAsia="仿宋_GB2312" w:cs="仿宋_GB2312"/>
                <w:color w:val="000000"/>
                <w:sz w:val="24"/>
                <w:szCs w:val="24"/>
              </w:rPr>
              <w:t>A</w:t>
            </w:r>
            <w:r>
              <w:rPr>
                <w:rFonts w:hint="eastAsia" w:ascii="仿宋_GB2312" w:hAnsi="Arial" w:eastAsia="仿宋_GB2312" w:cs="仿宋_GB2312"/>
                <w:color w:val="000000"/>
                <w:sz w:val="24"/>
                <w:szCs w:val="24"/>
              </w:rPr>
              <w:t>级护理</w:t>
            </w:r>
            <w:r>
              <w:rPr>
                <w:rFonts w:ascii="仿宋_GB2312" w:hAnsi="Arial" w:eastAsia="仿宋_GB2312" w:cs="仿宋_GB2312"/>
                <w:color w:val="000000"/>
                <w:sz w:val="24"/>
                <w:szCs w:val="24"/>
              </w:rPr>
              <w:t xml:space="preserve">                     </w:t>
            </w:r>
            <w:r>
              <w:rPr>
                <w:rFonts w:hint="eastAsia" w:ascii="仿宋_GB2312" w:hAnsi="Arial" w:eastAsia="仿宋_GB2312" w:cs="仿宋_GB2312"/>
                <w:color w:val="000000"/>
                <w:sz w:val="24"/>
                <w:szCs w:val="24"/>
              </w:rPr>
              <w:t>（一对一）</w:t>
            </w:r>
          </w:p>
        </w:tc>
        <w:tc>
          <w:tcPr>
            <w:tcW w:w="0" w:type="auto"/>
            <w:tcBorders>
              <w:top w:val="single" w:color="auto" w:sz="6" w:space="0"/>
              <w:left w:val="single" w:color="auto" w:sz="6" w:space="0"/>
              <w:bottom w:val="single" w:color="auto" w:sz="6" w:space="0"/>
              <w:right w:val="single" w:color="auto" w:sz="6" w:space="0"/>
            </w:tcBorders>
          </w:tcPr>
          <w:p w14:paraId="47263621">
            <w:pPr>
              <w:widowControl w:val="0"/>
              <w:autoSpaceDE w:val="0"/>
              <w:autoSpaceDN w:val="0"/>
              <w:snapToGrid/>
              <w:spacing w:after="0"/>
              <w:rPr>
                <w:rFonts w:ascii="仿宋_GB2312" w:hAnsi="Arial" w:eastAsia="仿宋_GB2312" w:cs="仿宋_GB2312"/>
                <w:color w:val="000000"/>
                <w:sz w:val="24"/>
                <w:szCs w:val="24"/>
              </w:rPr>
            </w:pPr>
            <w:r>
              <w:rPr>
                <w:rFonts w:hint="eastAsia" w:ascii="仿宋_GB2312" w:hAnsi="Arial" w:eastAsia="仿宋_GB2312" w:cs="仿宋_GB2312"/>
                <w:color w:val="000000"/>
                <w:sz w:val="24"/>
                <w:szCs w:val="24"/>
              </w:rPr>
              <w:t>生活完全不能自理的患者</w:t>
            </w:r>
          </w:p>
        </w:tc>
        <w:tc>
          <w:tcPr>
            <w:tcW w:w="0" w:type="auto"/>
            <w:tcBorders>
              <w:top w:val="single" w:color="auto" w:sz="6" w:space="0"/>
              <w:left w:val="single" w:color="auto" w:sz="6" w:space="0"/>
              <w:bottom w:val="single" w:color="auto" w:sz="6" w:space="0"/>
              <w:right w:val="single" w:color="auto" w:sz="6" w:space="0"/>
            </w:tcBorders>
          </w:tcPr>
          <w:p w14:paraId="1FF77764">
            <w:pPr>
              <w:widowControl w:val="0"/>
              <w:autoSpaceDE w:val="0"/>
              <w:autoSpaceDN w:val="0"/>
              <w:snapToGrid/>
              <w:spacing w:after="0"/>
              <w:rPr>
                <w:rFonts w:ascii="仿宋_GB2312" w:hAnsi="Arial" w:eastAsia="仿宋_GB2312" w:cs="仿宋_GB2312"/>
                <w:color w:val="000000"/>
                <w:sz w:val="24"/>
                <w:szCs w:val="24"/>
              </w:rPr>
            </w:pPr>
            <w:r>
              <w:rPr>
                <w:rFonts w:ascii="仿宋_GB2312" w:hAnsi="Arial" w:eastAsia="仿宋_GB2312" w:cs="仿宋_GB2312"/>
                <w:color w:val="000000"/>
                <w:sz w:val="24"/>
                <w:szCs w:val="24"/>
              </w:rPr>
              <w:t>1.</w:t>
            </w:r>
            <w:r>
              <w:rPr>
                <w:rFonts w:hint="eastAsia" w:ascii="仿宋_GB2312" w:hAnsi="Arial" w:eastAsia="仿宋_GB2312" w:cs="仿宋_GB2312"/>
                <w:color w:val="000000"/>
                <w:sz w:val="24"/>
                <w:szCs w:val="24"/>
              </w:rPr>
              <w:t>保证病室整洁：整理床单位、协助将患者个人用物摆放整齐，床下尿壶、便盆等不落地。</w:t>
            </w:r>
          </w:p>
          <w:p w14:paraId="73AC0447">
            <w:pPr>
              <w:widowControl w:val="0"/>
              <w:autoSpaceDE w:val="0"/>
              <w:autoSpaceDN w:val="0"/>
              <w:snapToGrid/>
              <w:spacing w:after="0"/>
              <w:rPr>
                <w:rFonts w:ascii="仿宋_GB2312" w:hAnsi="Arial" w:eastAsia="仿宋_GB2312" w:cs="仿宋_GB2312"/>
                <w:color w:val="000000"/>
                <w:sz w:val="24"/>
                <w:szCs w:val="24"/>
              </w:rPr>
            </w:pPr>
            <w:r>
              <w:rPr>
                <w:rFonts w:ascii="仿宋_GB2312" w:hAnsi="Arial" w:eastAsia="仿宋_GB2312" w:cs="仿宋_GB2312"/>
                <w:color w:val="000000"/>
                <w:sz w:val="24"/>
                <w:szCs w:val="24"/>
              </w:rPr>
              <w:t>2.</w:t>
            </w:r>
            <w:r>
              <w:rPr>
                <w:rFonts w:hint="eastAsia" w:ascii="仿宋_GB2312" w:hAnsi="Arial" w:eastAsia="仿宋_GB2312" w:cs="仿宋_GB2312"/>
                <w:color w:val="000000"/>
                <w:sz w:val="24"/>
                <w:szCs w:val="24"/>
              </w:rPr>
              <w:t>保证患者清洁：</w:t>
            </w:r>
            <w:r>
              <w:rPr>
                <w:rFonts w:hint="eastAsia" w:ascii="仿宋_GB2312" w:hAnsi="Arial" w:eastAsia="仿宋_GB2312" w:cs="仿宋_GB2312"/>
                <w:b/>
                <w:bCs/>
                <w:color w:val="000000"/>
                <w:sz w:val="24"/>
                <w:szCs w:val="24"/>
              </w:rPr>
              <w:t>完成</w:t>
            </w:r>
            <w:r>
              <w:rPr>
                <w:rFonts w:hint="eastAsia" w:ascii="仿宋_GB2312" w:hAnsi="Arial" w:eastAsia="仿宋_GB2312" w:cs="仿宋_GB2312"/>
                <w:color w:val="000000"/>
                <w:sz w:val="24"/>
                <w:szCs w:val="24"/>
              </w:rPr>
              <w:t>患者洗漱、擦身、更换衣裤、洗头、修剪指甲、剃胡须，为二便失禁患者做好会阴部、肛周的清洁。</w:t>
            </w:r>
          </w:p>
          <w:p w14:paraId="292D068A">
            <w:pPr>
              <w:widowControl w:val="0"/>
              <w:autoSpaceDE w:val="0"/>
              <w:autoSpaceDN w:val="0"/>
              <w:snapToGrid/>
              <w:spacing w:after="0"/>
              <w:rPr>
                <w:rFonts w:ascii="仿宋_GB2312" w:hAnsi="Arial" w:eastAsia="仿宋_GB2312" w:cs="仿宋_GB2312"/>
                <w:color w:val="000000"/>
                <w:sz w:val="24"/>
                <w:szCs w:val="24"/>
              </w:rPr>
            </w:pPr>
            <w:r>
              <w:rPr>
                <w:rFonts w:ascii="仿宋_GB2312" w:hAnsi="Arial" w:eastAsia="仿宋_GB2312" w:cs="仿宋_GB2312"/>
                <w:color w:val="000000"/>
                <w:sz w:val="24"/>
                <w:szCs w:val="24"/>
              </w:rPr>
              <w:t>3.</w:t>
            </w:r>
            <w:r>
              <w:rPr>
                <w:rFonts w:hint="eastAsia" w:ascii="仿宋_GB2312" w:hAnsi="Arial" w:eastAsia="仿宋_GB2312" w:cs="仿宋_GB2312"/>
                <w:color w:val="000000"/>
                <w:sz w:val="24"/>
                <w:szCs w:val="24"/>
              </w:rPr>
              <w:t>促进患者舒适：</w:t>
            </w:r>
            <w:r>
              <w:rPr>
                <w:rFonts w:hint="eastAsia" w:ascii="仿宋_GB2312" w:hAnsi="Arial" w:eastAsia="仿宋_GB2312" w:cs="仿宋_GB2312"/>
                <w:b/>
                <w:bCs/>
                <w:color w:val="000000"/>
                <w:sz w:val="24"/>
                <w:szCs w:val="24"/>
              </w:rPr>
              <w:t>完成</w:t>
            </w:r>
            <w:r>
              <w:rPr>
                <w:rFonts w:hint="eastAsia" w:ascii="仿宋_GB2312" w:hAnsi="Arial" w:eastAsia="仿宋_GB2312" w:cs="仿宋_GB2312"/>
                <w:color w:val="000000"/>
                <w:sz w:val="24"/>
                <w:szCs w:val="24"/>
              </w:rPr>
              <w:t>患者的进食、饮水、翻身、拍背。</w:t>
            </w:r>
          </w:p>
          <w:p w14:paraId="3F60A197">
            <w:pPr>
              <w:widowControl w:val="0"/>
              <w:autoSpaceDE w:val="0"/>
              <w:autoSpaceDN w:val="0"/>
              <w:snapToGrid/>
              <w:spacing w:after="0"/>
              <w:rPr>
                <w:rFonts w:ascii="仿宋_GB2312" w:hAnsi="Arial" w:eastAsia="仿宋_GB2312" w:cs="仿宋_GB2312"/>
                <w:color w:val="000000"/>
                <w:sz w:val="24"/>
                <w:szCs w:val="24"/>
              </w:rPr>
            </w:pPr>
            <w:r>
              <w:rPr>
                <w:rFonts w:ascii="仿宋_GB2312" w:hAnsi="Arial" w:eastAsia="仿宋_GB2312" w:cs="仿宋_GB2312"/>
                <w:color w:val="000000"/>
                <w:sz w:val="24"/>
                <w:szCs w:val="24"/>
              </w:rPr>
              <w:t>4.</w:t>
            </w:r>
            <w:r>
              <w:rPr>
                <w:rFonts w:hint="eastAsia" w:ascii="仿宋_GB2312" w:hAnsi="Arial" w:eastAsia="仿宋_GB2312" w:cs="仿宋_GB2312"/>
                <w:color w:val="000000"/>
                <w:sz w:val="24"/>
                <w:szCs w:val="24"/>
              </w:rPr>
              <w:t>维护患者安全：</w:t>
            </w:r>
            <w:r>
              <w:rPr>
                <w:rFonts w:hint="eastAsia" w:ascii="仿宋_GB2312" w:hAnsi="Arial" w:eastAsia="仿宋_GB2312" w:cs="仿宋_GB2312"/>
                <w:b/>
                <w:bCs/>
                <w:color w:val="000000"/>
                <w:sz w:val="24"/>
                <w:szCs w:val="24"/>
              </w:rPr>
              <w:t>为患者完成</w:t>
            </w:r>
            <w:r>
              <w:rPr>
                <w:rFonts w:hint="eastAsia" w:ascii="仿宋_GB2312" w:hAnsi="Arial" w:eastAsia="仿宋_GB2312" w:cs="仿宋_GB2312"/>
                <w:color w:val="000000"/>
                <w:sz w:val="24"/>
                <w:szCs w:val="24"/>
              </w:rPr>
              <w:t>如厕、床椅移动、使用轮椅、平车等转运工具。</w:t>
            </w:r>
          </w:p>
          <w:p w14:paraId="7924064D">
            <w:pPr>
              <w:widowControl w:val="0"/>
              <w:autoSpaceDE w:val="0"/>
              <w:autoSpaceDN w:val="0"/>
              <w:snapToGrid/>
              <w:spacing w:after="0"/>
              <w:rPr>
                <w:rFonts w:ascii="仿宋_GB2312" w:hAnsi="Arial" w:eastAsia="仿宋_GB2312" w:cs="仿宋_GB2312"/>
                <w:color w:val="000000"/>
                <w:sz w:val="24"/>
                <w:szCs w:val="24"/>
              </w:rPr>
            </w:pPr>
            <w:r>
              <w:rPr>
                <w:rFonts w:ascii="仿宋_GB2312" w:hAnsi="Arial" w:eastAsia="仿宋_GB2312" w:cs="仿宋_GB2312"/>
                <w:color w:val="000000"/>
                <w:sz w:val="24"/>
                <w:szCs w:val="24"/>
              </w:rPr>
              <w:t>5.</w:t>
            </w:r>
            <w:r>
              <w:rPr>
                <w:rFonts w:ascii="仿宋_GB2312" w:hAnsi="Arial" w:eastAsia="仿宋_GB2312" w:cs="仿宋_GB2312"/>
                <w:b/>
                <w:bCs/>
                <w:color w:val="000000"/>
                <w:sz w:val="24"/>
                <w:szCs w:val="24"/>
              </w:rPr>
              <w:t>24</w:t>
            </w:r>
            <w:r>
              <w:rPr>
                <w:rFonts w:hint="eastAsia" w:ascii="仿宋_GB2312" w:hAnsi="Arial" w:eastAsia="仿宋_GB2312" w:cs="仿宋_GB2312"/>
                <w:b/>
                <w:bCs/>
                <w:color w:val="000000"/>
                <w:sz w:val="24"/>
                <w:szCs w:val="24"/>
              </w:rPr>
              <w:t>小时陪护，</w:t>
            </w:r>
            <w:r>
              <w:rPr>
                <w:rFonts w:hint="eastAsia" w:ascii="仿宋_GB2312" w:hAnsi="Arial" w:eastAsia="仿宋_GB2312" w:cs="仿宋_GB2312"/>
                <w:color w:val="000000"/>
                <w:sz w:val="24"/>
                <w:szCs w:val="24"/>
              </w:rPr>
              <w:t>在医护人员的指导下，注意患者病情、输液情况的观察、保持各管路通畅，发现异常及时告知医护人员。</w:t>
            </w:r>
            <w:r>
              <w:rPr>
                <w:rFonts w:ascii="仿宋_GB2312" w:hAnsi="Arial" w:eastAsia="仿宋_GB2312" w:cs="仿宋_GB2312"/>
                <w:color w:val="000000"/>
                <w:sz w:val="24"/>
                <w:szCs w:val="24"/>
              </w:rPr>
              <w:t xml:space="preserve">                                6</w:t>
            </w:r>
            <w:r>
              <w:rPr>
                <w:rFonts w:ascii="仿宋_GB2312" w:hAnsi="Arial" w:eastAsia="仿宋_GB2312" w:cs="仿宋_GB2312"/>
                <w:b/>
                <w:bCs/>
                <w:color w:val="000000"/>
                <w:sz w:val="24"/>
                <w:szCs w:val="24"/>
              </w:rPr>
              <w:t>.</w:t>
            </w:r>
            <w:r>
              <w:rPr>
                <w:rFonts w:hint="eastAsia" w:ascii="仿宋_GB2312" w:hAnsi="Arial" w:eastAsia="仿宋_GB2312" w:cs="仿宋_GB2312"/>
                <w:b/>
                <w:bCs/>
                <w:color w:val="000000"/>
                <w:sz w:val="24"/>
                <w:szCs w:val="24"/>
              </w:rPr>
              <w:t>陪同患者进行相关检查。</w:t>
            </w:r>
          </w:p>
          <w:p w14:paraId="7612C01D">
            <w:pPr>
              <w:widowControl w:val="0"/>
              <w:autoSpaceDE w:val="0"/>
              <w:autoSpaceDN w:val="0"/>
              <w:snapToGrid/>
              <w:spacing w:after="0"/>
              <w:rPr>
                <w:rFonts w:ascii="仿宋_GB2312" w:hAnsi="Arial" w:eastAsia="仿宋_GB2312" w:cs="仿宋_GB2312"/>
                <w:color w:val="000000"/>
                <w:sz w:val="24"/>
                <w:szCs w:val="24"/>
              </w:rPr>
            </w:pPr>
            <w:r>
              <w:rPr>
                <w:rFonts w:ascii="仿宋_GB2312" w:hAnsi="Arial" w:eastAsia="仿宋_GB2312" w:cs="仿宋_GB2312"/>
                <w:color w:val="000000"/>
                <w:sz w:val="24"/>
                <w:szCs w:val="24"/>
              </w:rPr>
              <w:t xml:space="preserve">     </w:t>
            </w:r>
            <w:r>
              <w:rPr>
                <w:rFonts w:hint="eastAsia" w:ascii="仿宋_GB2312" w:hAnsi="Arial" w:eastAsia="仿宋_GB2312" w:cs="仿宋_GB2312"/>
                <w:color w:val="000000"/>
                <w:sz w:val="24"/>
                <w:szCs w:val="24"/>
              </w:rPr>
              <w:t>有特殊需要的，视患者情况双方洽谈面议而定，价格在</w:t>
            </w:r>
            <w:r>
              <w:rPr>
                <w:rFonts w:ascii="仿宋_GB2312" w:hAnsi="Arial" w:eastAsia="仿宋_GB2312" w:cs="仿宋_GB2312"/>
                <w:color w:val="000000"/>
                <w:sz w:val="24"/>
                <w:szCs w:val="24"/>
              </w:rPr>
              <w:t>260</w:t>
            </w:r>
            <w:r>
              <w:rPr>
                <w:rFonts w:hint="eastAsia" w:ascii="仿宋_GB2312" w:hAnsi="Arial" w:eastAsia="仿宋_GB2312" w:cs="仿宋_GB2312"/>
                <w:color w:val="000000"/>
                <w:sz w:val="24"/>
                <w:szCs w:val="24"/>
              </w:rPr>
              <w:t>元</w:t>
            </w:r>
            <w:r>
              <w:rPr>
                <w:rFonts w:ascii="仿宋_GB2312" w:hAnsi="Arial" w:eastAsia="仿宋_GB2312" w:cs="仿宋_GB2312"/>
                <w:color w:val="000000"/>
                <w:sz w:val="24"/>
                <w:szCs w:val="24"/>
              </w:rPr>
              <w:t>/</w:t>
            </w:r>
            <w:r>
              <w:rPr>
                <w:rFonts w:hint="eastAsia" w:ascii="仿宋_GB2312" w:hAnsi="Arial" w:eastAsia="仿宋_GB2312" w:cs="仿宋_GB2312"/>
                <w:color w:val="000000"/>
                <w:sz w:val="24"/>
                <w:szCs w:val="24"/>
              </w:rPr>
              <w:t>天的基础上，有以下几种情况的，一项服务加收</w:t>
            </w:r>
            <w:r>
              <w:rPr>
                <w:rFonts w:ascii="仿宋_GB2312" w:hAnsi="Arial" w:eastAsia="仿宋_GB2312" w:cs="仿宋_GB2312"/>
                <w:color w:val="000000"/>
                <w:sz w:val="24"/>
                <w:szCs w:val="24"/>
              </w:rPr>
              <w:t>10</w:t>
            </w:r>
            <w:r>
              <w:rPr>
                <w:rFonts w:hint="eastAsia" w:ascii="仿宋_GB2312" w:hAnsi="Arial" w:eastAsia="仿宋_GB2312" w:cs="仿宋_GB2312"/>
                <w:color w:val="000000"/>
                <w:sz w:val="24"/>
                <w:szCs w:val="24"/>
              </w:rPr>
              <w:t>元</w:t>
            </w:r>
            <w:r>
              <w:rPr>
                <w:rFonts w:ascii="仿宋_GB2312" w:hAnsi="Arial" w:eastAsia="仿宋_GB2312" w:cs="仿宋_GB2312"/>
                <w:color w:val="000000"/>
                <w:sz w:val="24"/>
                <w:szCs w:val="24"/>
              </w:rPr>
              <w:t>/</w:t>
            </w:r>
            <w:r>
              <w:rPr>
                <w:rFonts w:hint="eastAsia" w:ascii="仿宋_GB2312" w:hAnsi="Arial" w:eastAsia="仿宋_GB2312" w:cs="仿宋_GB2312"/>
                <w:color w:val="000000"/>
                <w:sz w:val="24"/>
                <w:szCs w:val="24"/>
              </w:rPr>
              <w:t>天，不超过</w:t>
            </w:r>
            <w:r>
              <w:rPr>
                <w:rFonts w:ascii="仿宋_GB2312" w:hAnsi="Arial" w:eastAsia="仿宋_GB2312" w:cs="仿宋_GB2312"/>
                <w:color w:val="000000"/>
                <w:sz w:val="24"/>
                <w:szCs w:val="24"/>
              </w:rPr>
              <w:t>300</w:t>
            </w:r>
            <w:r>
              <w:rPr>
                <w:rFonts w:hint="eastAsia" w:ascii="仿宋_GB2312" w:hAnsi="Arial" w:eastAsia="仿宋_GB2312" w:cs="仿宋_GB2312"/>
                <w:color w:val="000000"/>
                <w:sz w:val="24"/>
                <w:szCs w:val="24"/>
              </w:rPr>
              <w:t>元</w:t>
            </w:r>
            <w:r>
              <w:rPr>
                <w:rFonts w:ascii="仿宋_GB2312" w:hAnsi="Arial" w:eastAsia="仿宋_GB2312" w:cs="仿宋_GB2312"/>
                <w:color w:val="000000"/>
                <w:sz w:val="24"/>
                <w:szCs w:val="24"/>
              </w:rPr>
              <w:t>/</w:t>
            </w:r>
            <w:r>
              <w:rPr>
                <w:rFonts w:hint="eastAsia" w:ascii="仿宋_GB2312" w:hAnsi="Arial" w:eastAsia="仿宋_GB2312" w:cs="仿宋_GB2312"/>
                <w:color w:val="000000"/>
                <w:sz w:val="24"/>
                <w:szCs w:val="24"/>
              </w:rPr>
              <w:t>天。①危重患者②特殊病情患者③患者家属有特殊要求④高龄患者⑤体重严重超标。</w:t>
            </w:r>
          </w:p>
        </w:tc>
        <w:tc>
          <w:tcPr>
            <w:tcW w:w="0" w:type="auto"/>
            <w:tcBorders>
              <w:top w:val="single" w:color="auto" w:sz="6" w:space="0"/>
              <w:left w:val="single" w:color="auto" w:sz="6" w:space="0"/>
              <w:bottom w:val="single" w:color="auto" w:sz="6" w:space="0"/>
              <w:right w:val="single" w:color="auto" w:sz="6" w:space="0"/>
            </w:tcBorders>
          </w:tcPr>
          <w:p w14:paraId="48611A63">
            <w:pPr>
              <w:widowControl w:val="0"/>
              <w:autoSpaceDE w:val="0"/>
              <w:autoSpaceDN w:val="0"/>
              <w:snapToGrid/>
              <w:spacing w:after="0"/>
              <w:rPr>
                <w:rFonts w:ascii="仿宋_GB2312" w:hAnsi="Arial" w:eastAsia="仿宋_GB2312" w:cs="仿宋_GB2312"/>
                <w:color w:val="000000"/>
                <w:sz w:val="24"/>
                <w:szCs w:val="24"/>
              </w:rPr>
            </w:pPr>
            <w:r>
              <w:rPr>
                <w:rFonts w:ascii="仿宋_GB2312" w:hAnsi="Arial" w:eastAsia="仿宋_GB2312" w:cs="仿宋_GB2312"/>
                <w:color w:val="000000"/>
                <w:sz w:val="24"/>
                <w:szCs w:val="24"/>
              </w:rPr>
              <w:t>260</w:t>
            </w:r>
            <w:r>
              <w:rPr>
                <w:rFonts w:hint="eastAsia" w:ascii="仿宋_GB2312" w:hAnsi="Arial" w:eastAsia="仿宋_GB2312" w:cs="仿宋_GB2312"/>
                <w:color w:val="000000"/>
                <w:sz w:val="24"/>
                <w:szCs w:val="24"/>
              </w:rPr>
              <w:t>元</w:t>
            </w:r>
            <w:r>
              <w:rPr>
                <w:rFonts w:ascii="仿宋_GB2312" w:hAnsi="Arial" w:eastAsia="仿宋_GB2312" w:cs="仿宋_GB2312"/>
                <w:color w:val="000000"/>
                <w:sz w:val="24"/>
                <w:szCs w:val="24"/>
              </w:rPr>
              <w:t>-300</w:t>
            </w:r>
            <w:r>
              <w:rPr>
                <w:rFonts w:hint="eastAsia" w:ascii="仿宋_GB2312" w:hAnsi="Arial" w:eastAsia="仿宋_GB2312" w:cs="仿宋_GB2312"/>
                <w:color w:val="000000"/>
                <w:sz w:val="24"/>
                <w:szCs w:val="24"/>
              </w:rPr>
              <w:t>元</w:t>
            </w:r>
            <w:r>
              <w:rPr>
                <w:rFonts w:ascii="仿宋_GB2312" w:hAnsi="Arial" w:eastAsia="仿宋_GB2312" w:cs="仿宋_GB2312"/>
                <w:color w:val="000000"/>
                <w:sz w:val="24"/>
                <w:szCs w:val="24"/>
              </w:rPr>
              <w:t>/</w:t>
            </w:r>
            <w:r>
              <w:rPr>
                <w:rFonts w:hint="eastAsia" w:ascii="仿宋_GB2312" w:hAnsi="Arial" w:eastAsia="仿宋_GB2312" w:cs="仿宋_GB2312"/>
                <w:color w:val="000000"/>
                <w:sz w:val="24"/>
                <w:szCs w:val="24"/>
              </w:rPr>
              <w:t>天</w:t>
            </w:r>
          </w:p>
        </w:tc>
      </w:tr>
    </w:tbl>
    <w:p w14:paraId="394DEF84">
      <w:pPr>
        <w:pStyle w:val="2"/>
        <w:rPr>
          <w:highlight w:val="yellow"/>
        </w:rPr>
      </w:pPr>
    </w:p>
    <w:p w14:paraId="476A53E4">
      <w:pPr>
        <w:spacing w:after="156" w:afterLines="50" w:line="468" w:lineRule="exact"/>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供应商需承诺若中标则按照此收费标准执行，否则做无效投标处理。</w:t>
      </w:r>
    </w:p>
    <w:p w14:paraId="55213CE6">
      <w:pPr>
        <w:spacing w:after="156" w:afterLines="50" w:line="468" w:lineRule="exact"/>
        <w:rPr>
          <w:rFonts w:hint="eastAsia" w:asciiTheme="minorEastAsia" w:hAnsiTheme="minorEastAsia" w:eastAsiaTheme="minorEastAsia"/>
          <w:b/>
          <w:bCs/>
          <w:sz w:val="30"/>
          <w:szCs w:val="30"/>
        </w:rPr>
      </w:pPr>
      <w:r>
        <w:rPr>
          <w:rFonts w:hint="eastAsia" w:asciiTheme="minorEastAsia" w:hAnsiTheme="minorEastAsia" w:eastAsiaTheme="minorEastAsia"/>
          <w:b/>
          <w:bCs/>
          <w:sz w:val="30"/>
          <w:szCs w:val="30"/>
        </w:rPr>
        <w:t>三、服务期限及服务地点</w:t>
      </w:r>
    </w:p>
    <w:p w14:paraId="772A330C">
      <w:pPr>
        <w:spacing w:line="360" w:lineRule="auto"/>
        <w:ind w:left="69"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1、服务期：1年；</w:t>
      </w:r>
    </w:p>
    <w:p w14:paraId="28F537FD">
      <w:pPr>
        <w:spacing w:line="360" w:lineRule="auto"/>
        <w:ind w:left="69"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2、服务地点：</w:t>
      </w:r>
      <w:r>
        <w:rPr>
          <w:rFonts w:hint="eastAsia" w:cs="宋体" w:asciiTheme="minorEastAsia" w:hAnsiTheme="minorEastAsia" w:eastAsiaTheme="minorEastAsia"/>
          <w:sz w:val="24"/>
          <w:u w:val="single"/>
        </w:rPr>
        <w:t>福建省肿瘤医院</w:t>
      </w:r>
    </w:p>
    <w:p w14:paraId="5768848A">
      <w:pPr>
        <w:spacing w:after="156" w:afterLines="50" w:line="468" w:lineRule="exact"/>
        <w:rPr>
          <w:rFonts w:hint="eastAsia" w:asciiTheme="minorEastAsia" w:hAnsiTheme="minorEastAsia" w:eastAsiaTheme="minorEastAsia"/>
          <w:b/>
          <w:bCs/>
          <w:sz w:val="30"/>
          <w:szCs w:val="30"/>
        </w:rPr>
      </w:pPr>
      <w:bookmarkStart w:id="2" w:name="_Toc116869901"/>
      <w:bookmarkStart w:id="3" w:name="_Toc14191"/>
      <w:bookmarkStart w:id="4" w:name="_Toc168037533"/>
      <w:bookmarkStart w:id="5" w:name="_Toc152583389"/>
      <w:bookmarkStart w:id="6" w:name="_Toc89791596"/>
      <w:bookmarkStart w:id="7" w:name="_Toc148496402"/>
      <w:bookmarkStart w:id="8" w:name="_Toc146679241"/>
      <w:bookmarkStart w:id="9" w:name="_Toc105315000"/>
      <w:bookmarkStart w:id="10" w:name="_Toc89791698"/>
      <w:bookmarkStart w:id="11" w:name="_Toc150163485"/>
      <w:bookmarkStart w:id="12" w:name="_Toc145393563"/>
      <w:bookmarkStart w:id="13" w:name="_Toc90180873"/>
      <w:bookmarkStart w:id="14" w:name="_Toc483588242"/>
      <w:bookmarkStart w:id="15" w:name="_Toc141847066"/>
      <w:bookmarkStart w:id="16" w:name="_Toc148496351"/>
      <w:bookmarkStart w:id="17" w:name="_Toc189832470"/>
      <w:bookmarkStart w:id="18" w:name="_Toc150852805"/>
      <w:bookmarkStart w:id="19" w:name="_Toc144818372"/>
      <w:bookmarkStart w:id="20" w:name="_Toc116895408"/>
      <w:bookmarkStart w:id="21" w:name="_Toc169944023"/>
      <w:bookmarkStart w:id="22" w:name="_Toc146679650"/>
      <w:bookmarkStart w:id="23" w:name="_Toc169877476"/>
      <w:bookmarkStart w:id="24" w:name="_Toc37236847"/>
      <w:bookmarkStart w:id="25" w:name="_Toc36974051"/>
      <w:bookmarkStart w:id="26" w:name="_Toc34471344"/>
      <w:bookmarkStart w:id="27" w:name="_Toc36973198"/>
      <w:bookmarkStart w:id="28" w:name="_Toc36974207"/>
      <w:bookmarkStart w:id="29" w:name="_Toc32815547"/>
      <w:bookmarkStart w:id="30" w:name="_Toc36974289"/>
      <w:bookmarkStart w:id="31" w:name="_Toc36974340"/>
      <w:bookmarkStart w:id="32" w:name="_Toc36973985"/>
      <w:bookmarkStart w:id="33" w:name="_Toc36867048"/>
      <w:bookmarkStart w:id="34" w:name="_Toc36885854"/>
      <w:r>
        <w:rPr>
          <w:rFonts w:hint="eastAsia" w:asciiTheme="minorEastAsia" w:hAnsiTheme="minorEastAsia" w:eastAsiaTheme="minorEastAsia"/>
          <w:b/>
          <w:bCs/>
          <w:sz w:val="30"/>
          <w:szCs w:val="30"/>
        </w:rPr>
        <w:t>四、报价要求</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14:paraId="5FB19333">
      <w:pPr>
        <w:tabs>
          <w:tab w:val="left" w:pos="5130"/>
        </w:tabs>
        <w:spacing w:line="360" w:lineRule="auto"/>
        <w:ind w:left="69"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1、本次招标不涉及报价，供应商按照采购要求对服务收费标准进行承诺。</w:t>
      </w:r>
    </w:p>
    <w:bookmarkEnd w:id="24"/>
    <w:bookmarkEnd w:id="25"/>
    <w:bookmarkEnd w:id="26"/>
    <w:bookmarkEnd w:id="27"/>
    <w:bookmarkEnd w:id="28"/>
    <w:bookmarkEnd w:id="29"/>
    <w:bookmarkEnd w:id="30"/>
    <w:bookmarkEnd w:id="31"/>
    <w:bookmarkEnd w:id="32"/>
    <w:bookmarkEnd w:id="33"/>
    <w:bookmarkEnd w:id="34"/>
    <w:p w14:paraId="03808060">
      <w:pPr>
        <w:spacing w:after="156" w:afterLines="50" w:line="468" w:lineRule="exact"/>
        <w:rPr>
          <w:rFonts w:hint="eastAsia" w:asciiTheme="minorEastAsia" w:hAnsiTheme="minorEastAsia" w:eastAsiaTheme="minorEastAsia"/>
          <w:b/>
          <w:bCs/>
          <w:sz w:val="30"/>
          <w:szCs w:val="30"/>
        </w:rPr>
      </w:pPr>
      <w:bookmarkStart w:id="35" w:name="_Toc521311776"/>
      <w:r>
        <w:rPr>
          <w:rFonts w:hint="eastAsia" w:asciiTheme="minorEastAsia" w:hAnsiTheme="minorEastAsia" w:eastAsiaTheme="minorEastAsia"/>
          <w:b/>
          <w:bCs/>
          <w:sz w:val="30"/>
          <w:szCs w:val="30"/>
        </w:rPr>
        <w:t>五、追责条款</w:t>
      </w:r>
    </w:p>
    <w:p w14:paraId="73C99B85">
      <w:pPr>
        <w:spacing w:line="360" w:lineRule="auto"/>
        <w:ind w:left="68"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1.护理员陪护期间如果有偷窃及猥亵病人等违法行为，一律报警追究法律责任；与客户发生纠纷或自身工作失误给客户造成损失如造成病人摔伤、烫伤、坠床、走失等意外伤害或其他医疗纠纷时，均由中标人与客户自行处理，中标人应承担一切赔偿责任及其产生的法律后果，采购人不承担纠纷处理义务和任何法律责任。中标供应商人员无论是在工作当中或者是上下班途中的人身安全均由中标人自行负责，如果发生意外与采购人无关。</w:t>
      </w:r>
    </w:p>
    <w:p w14:paraId="18602372">
      <w:pPr>
        <w:spacing w:line="360" w:lineRule="auto"/>
        <w:ind w:left="68"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2. 中标供应商人员在采购人指导下做好疫情防控工作，中标供应商人员违反规定造成疫情扩散，中标供应商承担一切后果。</w:t>
      </w:r>
    </w:p>
    <w:p w14:paraId="3B3C9612">
      <w:pPr>
        <w:spacing w:line="360" w:lineRule="auto"/>
        <w:ind w:left="68"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3.如果中标供应商达不到采购人提出的服务要求，采购人有权要求中标供应商在一个月内完成整改，中标供应商整改无成效的，采购人有权单方面解除合同，造成采购人经济损失的，中标供应商应负责赔偿采购人。</w:t>
      </w:r>
    </w:p>
    <w:p w14:paraId="1E55F939">
      <w:pPr>
        <w:spacing w:line="360" w:lineRule="auto"/>
        <w:ind w:left="68"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4.为了保障护理员工作质量，中标人应向采购人提供不少于5万元的履约保证金，如果中标人在合同期内考核合格，合同期满退回本金，如果中标方人员出现违法违规行为，院方有权按照一次500-2000元范围内扣罚保证金，保证金扣完时采购人有权解除合同。</w:t>
      </w:r>
    </w:p>
    <w:p w14:paraId="6346BA86">
      <w:pPr>
        <w:pStyle w:val="5"/>
        <w:tabs>
          <w:tab w:val="left" w:pos="308"/>
        </w:tabs>
        <w:spacing w:before="0" w:after="0" w:line="360" w:lineRule="auto"/>
        <w:rPr>
          <w:rFonts w:hint="eastAsia" w:cs="宋体" w:asciiTheme="minorEastAsia" w:hAnsiTheme="minorEastAsia" w:eastAsiaTheme="minorEastAsia"/>
          <w:color w:val="auto"/>
          <w:szCs w:val="28"/>
        </w:rPr>
      </w:pPr>
      <w:r>
        <w:rPr>
          <w:rFonts w:hint="eastAsia" w:cs="宋体" w:asciiTheme="minorEastAsia" w:hAnsiTheme="minorEastAsia" w:eastAsiaTheme="minorEastAsia"/>
          <w:color w:val="auto"/>
          <w:szCs w:val="28"/>
        </w:rPr>
        <w:t>六、验收条件及标准</w:t>
      </w:r>
    </w:p>
    <w:p w14:paraId="2B6E9713">
      <w:pPr>
        <w:spacing w:line="360" w:lineRule="auto"/>
        <w:ind w:left="69"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1、验收方式：中标供应商</w:t>
      </w:r>
      <w:r>
        <w:rPr>
          <w:rFonts w:hint="eastAsia" w:asciiTheme="minorEastAsia" w:hAnsiTheme="minorEastAsia" w:eastAsiaTheme="minorEastAsia"/>
          <w:bCs/>
          <w:sz w:val="24"/>
        </w:rPr>
        <w:t>工作人员考核应严格按照采购人的要求，采购人根据工作人员具体从事的事务工作质量、效率进行评议，不定期出具考核意见，如被评为不合格，成交供应商应按采购人要求在5日内更换人员，所产生的费用由成交供应商自行承担。</w:t>
      </w:r>
    </w:p>
    <w:p w14:paraId="4CA67910">
      <w:pPr>
        <w:spacing w:line="360" w:lineRule="auto"/>
        <w:ind w:left="69" w:firstLine="480" w:firstLineChars="200"/>
        <w:rPr>
          <w:rFonts w:hint="eastAsia" w:cs="宋体" w:asciiTheme="minorEastAsia" w:hAnsiTheme="minorEastAsia" w:eastAsiaTheme="minorEastAsia"/>
          <w:sz w:val="24"/>
        </w:rPr>
      </w:pPr>
      <w:r>
        <w:rPr>
          <w:rFonts w:hint="eastAsia" w:cs="Arial" w:asciiTheme="minorEastAsia" w:hAnsiTheme="minorEastAsia" w:eastAsiaTheme="minorEastAsia"/>
          <w:sz w:val="24"/>
        </w:rPr>
        <w:t>2、验收依据：</w:t>
      </w:r>
      <w:r>
        <w:rPr>
          <w:rFonts w:hint="eastAsia" w:cs="宋体" w:asciiTheme="minorEastAsia" w:hAnsiTheme="minorEastAsia" w:eastAsiaTheme="minorEastAsia"/>
          <w:sz w:val="24"/>
        </w:rPr>
        <w:t>招标文件、投标文件、技术标准说明及国家有关的质量标准规定，均为验收依据。</w:t>
      </w:r>
    </w:p>
    <w:p w14:paraId="297F2764">
      <w:pPr>
        <w:spacing w:line="360" w:lineRule="auto"/>
        <w:ind w:left="69" w:firstLine="480" w:firstLineChars="200"/>
        <w:rPr>
          <w:rFonts w:hint="eastAsia" w:cs="Arial" w:asciiTheme="minorEastAsia" w:hAnsiTheme="minorEastAsia" w:eastAsiaTheme="minorEastAsia"/>
          <w:sz w:val="24"/>
        </w:rPr>
      </w:pPr>
      <w:r>
        <w:rPr>
          <w:rFonts w:hint="eastAsia" w:cs="Arial" w:asciiTheme="minorEastAsia" w:hAnsiTheme="minorEastAsia" w:eastAsiaTheme="minorEastAsia"/>
          <w:sz w:val="24"/>
        </w:rPr>
        <w:t>3、验收时投标人必须派代表参加。</w:t>
      </w:r>
    </w:p>
    <w:p w14:paraId="0E16F33C">
      <w:pPr>
        <w:spacing w:line="360" w:lineRule="auto"/>
        <w:ind w:left="69" w:firstLine="480" w:firstLineChars="200"/>
        <w:rPr>
          <w:rFonts w:hint="eastAsia" w:cs="Arial" w:asciiTheme="minorEastAsia" w:hAnsiTheme="minorEastAsia" w:eastAsiaTheme="minorEastAsia"/>
          <w:sz w:val="24"/>
        </w:rPr>
      </w:pPr>
      <w:r>
        <w:rPr>
          <w:rFonts w:hint="eastAsia" w:cs="Arial" w:asciiTheme="minorEastAsia" w:hAnsiTheme="minorEastAsia" w:eastAsiaTheme="minorEastAsia"/>
          <w:sz w:val="24"/>
        </w:rPr>
        <w:t>4、验收过程所发生的一切费用由中标供应商承担。</w:t>
      </w:r>
    </w:p>
    <w:bookmarkEnd w:id="35"/>
    <w:p w14:paraId="262AEEF7">
      <w:pPr>
        <w:pStyle w:val="45"/>
        <w:rPr>
          <w:rFonts w:cs="宋体" w:asciiTheme="minorEastAsia" w:hAnsiTheme="minorEastAsia" w:eastAsiaTheme="minorEastAsia"/>
          <w:b/>
          <w:sz w:val="36"/>
          <w:szCs w:val="36"/>
        </w:rPr>
      </w:pPr>
      <w:r>
        <w:rPr>
          <w:rFonts w:cs="宋体" w:asciiTheme="minorEastAsia" w:hAnsiTheme="minorEastAsia" w:eastAsiaTheme="minorEastAsia"/>
          <w:b/>
          <w:sz w:val="36"/>
          <w:szCs w:val="36"/>
        </w:rPr>
        <w:t>二、评分办法</w:t>
      </w:r>
    </w:p>
    <w:tbl>
      <w:tblPr>
        <w:tblStyle w:val="20"/>
        <w:tblpPr w:leftFromText="180" w:rightFromText="180" w:vertAnchor="text" w:horzAnchor="page" w:tblpXSpec="center" w:tblpY="65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96"/>
        <w:gridCol w:w="526"/>
      </w:tblGrid>
      <w:tr w14:paraId="64359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0" w:type="auto"/>
            <w:tcBorders>
              <w:top w:val="single" w:color="auto" w:sz="4" w:space="0"/>
              <w:left w:val="single" w:color="auto" w:sz="4" w:space="0"/>
              <w:bottom w:val="single" w:color="auto" w:sz="4" w:space="0"/>
              <w:right w:val="single" w:color="auto" w:sz="4" w:space="0"/>
            </w:tcBorders>
            <w:vAlign w:val="center"/>
          </w:tcPr>
          <w:p w14:paraId="66875241">
            <w:pPr>
              <w:pStyle w:val="45"/>
              <w:jc w:val="both"/>
              <w:rPr>
                <w:rFonts w:asciiTheme="minorEastAsia" w:hAnsiTheme="minorEastAsia" w:eastAsiaTheme="minorEastAsia"/>
                <w:b/>
                <w:bCs/>
                <w:sz w:val="26"/>
                <w:szCs w:val="26"/>
              </w:rPr>
            </w:pPr>
            <w:r>
              <w:rPr>
                <w:rFonts w:asciiTheme="minorEastAsia" w:hAnsiTheme="minorEastAsia" w:eastAsiaTheme="minorEastAsia"/>
                <w:b/>
                <w:bCs/>
                <w:sz w:val="26"/>
                <w:szCs w:val="26"/>
              </w:rPr>
              <w:t>评分因素及细则</w:t>
            </w:r>
          </w:p>
        </w:tc>
        <w:tc>
          <w:tcPr>
            <w:tcW w:w="0" w:type="auto"/>
            <w:tcBorders>
              <w:top w:val="single" w:color="auto" w:sz="4" w:space="0"/>
              <w:left w:val="single" w:color="auto" w:sz="4" w:space="0"/>
              <w:bottom w:val="single" w:color="auto" w:sz="4" w:space="0"/>
              <w:right w:val="single" w:color="auto" w:sz="4" w:space="0"/>
            </w:tcBorders>
            <w:vAlign w:val="center"/>
          </w:tcPr>
          <w:p w14:paraId="706B6CB0">
            <w:pPr>
              <w:pStyle w:val="45"/>
              <w:rPr>
                <w:rFonts w:asciiTheme="minorEastAsia" w:hAnsiTheme="minorEastAsia" w:eastAsiaTheme="minorEastAsia"/>
                <w:b/>
                <w:bCs/>
                <w:sz w:val="26"/>
                <w:szCs w:val="26"/>
              </w:rPr>
            </w:pPr>
            <w:r>
              <w:rPr>
                <w:rFonts w:asciiTheme="minorEastAsia" w:hAnsiTheme="minorEastAsia" w:eastAsiaTheme="minorEastAsia"/>
                <w:b/>
                <w:bCs/>
                <w:sz w:val="26"/>
                <w:szCs w:val="26"/>
              </w:rPr>
              <w:t>满分</w:t>
            </w:r>
          </w:p>
        </w:tc>
      </w:tr>
      <w:tr w14:paraId="07D1F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0" w:type="auto"/>
            <w:tcBorders>
              <w:top w:val="single" w:color="auto" w:sz="4" w:space="0"/>
              <w:left w:val="single" w:color="auto" w:sz="4" w:space="0"/>
              <w:bottom w:val="single" w:color="auto" w:sz="4" w:space="0"/>
              <w:right w:val="single" w:color="auto" w:sz="4" w:space="0"/>
            </w:tcBorders>
            <w:vAlign w:val="center"/>
          </w:tcPr>
          <w:p w14:paraId="7548F4FD">
            <w:pPr>
              <w:pStyle w:val="45"/>
              <w:jc w:val="both"/>
              <w:rPr>
                <w:rFonts w:asciiTheme="minorEastAsia" w:hAnsiTheme="minorEastAsia" w:eastAsiaTheme="minorEastAsia"/>
                <w:b/>
                <w:bCs/>
                <w:sz w:val="26"/>
                <w:szCs w:val="26"/>
              </w:rPr>
            </w:pPr>
            <w:r>
              <w:rPr>
                <w:rFonts w:asciiTheme="minorEastAsia" w:hAnsiTheme="minorEastAsia" w:eastAsiaTheme="minorEastAsia"/>
                <w:bCs/>
                <w:sz w:val="26"/>
                <w:szCs w:val="26"/>
              </w:rPr>
              <w:t>技术项（F2×A2）满分为70.00分</w:t>
            </w:r>
          </w:p>
        </w:tc>
        <w:tc>
          <w:tcPr>
            <w:tcW w:w="0" w:type="auto"/>
            <w:tcBorders>
              <w:top w:val="single" w:color="auto" w:sz="4" w:space="0"/>
              <w:left w:val="single" w:color="auto" w:sz="4" w:space="0"/>
              <w:bottom w:val="single" w:color="auto" w:sz="4" w:space="0"/>
              <w:right w:val="single" w:color="auto" w:sz="4" w:space="0"/>
            </w:tcBorders>
            <w:vAlign w:val="center"/>
          </w:tcPr>
          <w:p w14:paraId="0AEB8174">
            <w:pPr>
              <w:pStyle w:val="45"/>
              <w:rPr>
                <w:rFonts w:asciiTheme="minorEastAsia" w:hAnsiTheme="minorEastAsia" w:eastAsiaTheme="minorEastAsia"/>
                <w:b/>
                <w:bCs/>
                <w:sz w:val="26"/>
                <w:szCs w:val="26"/>
              </w:rPr>
            </w:pPr>
          </w:p>
        </w:tc>
      </w:tr>
      <w:tr w14:paraId="0599E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0" w:type="auto"/>
            <w:tcBorders>
              <w:top w:val="single" w:color="auto" w:sz="4" w:space="0"/>
              <w:left w:val="single" w:color="auto" w:sz="4" w:space="0"/>
              <w:bottom w:val="single" w:color="auto" w:sz="4" w:space="0"/>
              <w:right w:val="single" w:color="auto" w:sz="4" w:space="0"/>
            </w:tcBorders>
            <w:vAlign w:val="center"/>
          </w:tcPr>
          <w:p w14:paraId="77E4C08C">
            <w:pPr>
              <w:pStyle w:val="45"/>
              <w:jc w:val="both"/>
              <w:rPr>
                <w:rFonts w:asciiTheme="minorEastAsia" w:hAnsiTheme="minorEastAsia" w:eastAsiaTheme="minorEastAsia"/>
                <w:bCs/>
                <w:sz w:val="26"/>
                <w:szCs w:val="26"/>
              </w:rPr>
            </w:pPr>
            <w:r>
              <w:rPr>
                <w:rFonts w:asciiTheme="minorEastAsia" w:hAnsiTheme="minorEastAsia" w:eastAsiaTheme="minorEastAsia"/>
                <w:bCs/>
                <w:sz w:val="26"/>
                <w:szCs w:val="26"/>
              </w:rPr>
              <w:t>T1、根据投标人制定的项目整体服务方案进行评价：</w:t>
            </w:r>
          </w:p>
          <w:p w14:paraId="46F2BBE6">
            <w:pPr>
              <w:pStyle w:val="45"/>
              <w:jc w:val="both"/>
              <w:rPr>
                <w:rFonts w:asciiTheme="minorEastAsia" w:hAnsiTheme="minorEastAsia" w:eastAsiaTheme="minorEastAsia"/>
                <w:bCs/>
                <w:sz w:val="26"/>
                <w:szCs w:val="26"/>
              </w:rPr>
            </w:pPr>
            <w:r>
              <w:rPr>
                <w:rFonts w:asciiTheme="minorEastAsia" w:hAnsiTheme="minorEastAsia" w:eastAsiaTheme="minorEastAsia"/>
                <w:bCs/>
                <w:sz w:val="26"/>
                <w:szCs w:val="26"/>
              </w:rPr>
              <w:t>制定的服务方案至少包含服务思路、服务定位、各项管理内容，方案能够满足本项目需求的得2.8分；提出有针对性的管理设想，分析项目重点难点，并提出应对管理措施，包括防止院内交叉感染措施、质量控制措施等，有助于提升本项目服务的得3分；</w:t>
            </w:r>
          </w:p>
          <w:p w14:paraId="691F511A">
            <w:pPr>
              <w:pStyle w:val="45"/>
              <w:jc w:val="both"/>
              <w:rPr>
                <w:rFonts w:asciiTheme="minorEastAsia" w:hAnsiTheme="minorEastAsia" w:eastAsiaTheme="minorEastAsia"/>
                <w:bCs/>
                <w:sz w:val="26"/>
                <w:szCs w:val="26"/>
              </w:rPr>
            </w:pPr>
            <w:r>
              <w:rPr>
                <w:rFonts w:asciiTheme="minorEastAsia" w:hAnsiTheme="minorEastAsia" w:eastAsiaTheme="minorEastAsia"/>
                <w:bCs/>
                <w:sz w:val="26"/>
                <w:szCs w:val="26"/>
              </w:rPr>
              <w:t>其他情况不得分。</w:t>
            </w:r>
          </w:p>
        </w:tc>
        <w:tc>
          <w:tcPr>
            <w:tcW w:w="0" w:type="auto"/>
            <w:tcBorders>
              <w:top w:val="single" w:color="auto" w:sz="4" w:space="0"/>
              <w:left w:val="single" w:color="auto" w:sz="4" w:space="0"/>
              <w:bottom w:val="single" w:color="auto" w:sz="4" w:space="0"/>
              <w:right w:val="single" w:color="auto" w:sz="4" w:space="0"/>
            </w:tcBorders>
            <w:vAlign w:val="center"/>
          </w:tcPr>
          <w:p w14:paraId="71773785">
            <w:pPr>
              <w:pStyle w:val="45"/>
              <w:jc w:val="both"/>
              <w:rPr>
                <w:rFonts w:asciiTheme="minorEastAsia" w:hAnsiTheme="minorEastAsia" w:eastAsiaTheme="minorEastAsia"/>
                <w:bCs/>
                <w:sz w:val="26"/>
                <w:szCs w:val="26"/>
              </w:rPr>
            </w:pPr>
            <w:r>
              <w:rPr>
                <w:rFonts w:asciiTheme="minorEastAsia" w:hAnsiTheme="minorEastAsia" w:eastAsiaTheme="minorEastAsia"/>
                <w:bCs/>
                <w:sz w:val="26"/>
                <w:szCs w:val="26"/>
              </w:rPr>
              <w:t>3</w:t>
            </w:r>
          </w:p>
        </w:tc>
      </w:tr>
      <w:tr w14:paraId="4A1BC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0" w:type="auto"/>
            <w:tcBorders>
              <w:top w:val="single" w:color="auto" w:sz="4" w:space="0"/>
              <w:left w:val="single" w:color="auto" w:sz="4" w:space="0"/>
              <w:bottom w:val="single" w:color="auto" w:sz="4" w:space="0"/>
              <w:right w:val="single" w:color="auto" w:sz="4" w:space="0"/>
            </w:tcBorders>
            <w:vAlign w:val="center"/>
          </w:tcPr>
          <w:p w14:paraId="7CD142C9">
            <w:pPr>
              <w:pStyle w:val="45"/>
              <w:jc w:val="both"/>
              <w:rPr>
                <w:rFonts w:asciiTheme="minorEastAsia" w:hAnsiTheme="minorEastAsia" w:eastAsiaTheme="minorEastAsia"/>
                <w:bCs/>
                <w:sz w:val="26"/>
                <w:szCs w:val="26"/>
              </w:rPr>
            </w:pPr>
            <w:r>
              <w:rPr>
                <w:rFonts w:asciiTheme="minorEastAsia" w:hAnsiTheme="minorEastAsia" w:eastAsiaTheme="minorEastAsia"/>
                <w:bCs/>
                <w:sz w:val="26"/>
                <w:szCs w:val="26"/>
              </w:rPr>
              <w:t>T2、根据投标人的管理机构及管理制度进行评价：</w:t>
            </w:r>
          </w:p>
          <w:p w14:paraId="1D4F06CC">
            <w:pPr>
              <w:pStyle w:val="45"/>
              <w:jc w:val="both"/>
              <w:rPr>
                <w:rFonts w:asciiTheme="minorEastAsia" w:hAnsiTheme="minorEastAsia" w:eastAsiaTheme="minorEastAsia"/>
                <w:bCs/>
                <w:sz w:val="26"/>
                <w:szCs w:val="26"/>
              </w:rPr>
            </w:pPr>
            <w:r>
              <w:rPr>
                <w:rFonts w:asciiTheme="minorEastAsia" w:hAnsiTheme="minorEastAsia" w:eastAsiaTheme="minorEastAsia"/>
                <w:bCs/>
                <w:sz w:val="26"/>
                <w:szCs w:val="26"/>
              </w:rPr>
              <w:t>制定的人员管理方案至少包含管理机构设置、各部门职责、各类规章制度、保密规定，方案能够满足本项目需求的得2.8分；针对医院情况提出有针对性的管理制度，公司内部成立单独领导小组，并明确相应职责，有助于提升本项目服务的得3分；</w:t>
            </w:r>
          </w:p>
          <w:p w14:paraId="7BC4844B">
            <w:pPr>
              <w:pStyle w:val="45"/>
              <w:jc w:val="both"/>
              <w:rPr>
                <w:rFonts w:asciiTheme="minorEastAsia" w:hAnsiTheme="minorEastAsia" w:eastAsiaTheme="minorEastAsia"/>
                <w:bCs/>
                <w:sz w:val="26"/>
                <w:szCs w:val="26"/>
              </w:rPr>
            </w:pPr>
            <w:r>
              <w:rPr>
                <w:rFonts w:asciiTheme="minorEastAsia" w:hAnsiTheme="minorEastAsia" w:eastAsiaTheme="minorEastAsia"/>
                <w:bCs/>
                <w:sz w:val="26"/>
                <w:szCs w:val="26"/>
              </w:rPr>
              <w:t>其他情况不得分。</w:t>
            </w:r>
          </w:p>
        </w:tc>
        <w:tc>
          <w:tcPr>
            <w:tcW w:w="0" w:type="auto"/>
            <w:tcBorders>
              <w:top w:val="single" w:color="auto" w:sz="4" w:space="0"/>
              <w:left w:val="single" w:color="auto" w:sz="4" w:space="0"/>
              <w:bottom w:val="single" w:color="auto" w:sz="4" w:space="0"/>
              <w:right w:val="single" w:color="auto" w:sz="4" w:space="0"/>
            </w:tcBorders>
            <w:vAlign w:val="center"/>
          </w:tcPr>
          <w:p w14:paraId="3D142D54">
            <w:pPr>
              <w:pStyle w:val="45"/>
              <w:jc w:val="both"/>
              <w:rPr>
                <w:rFonts w:asciiTheme="minorEastAsia" w:hAnsiTheme="minorEastAsia" w:eastAsiaTheme="minorEastAsia"/>
                <w:bCs/>
                <w:sz w:val="26"/>
                <w:szCs w:val="26"/>
              </w:rPr>
            </w:pPr>
            <w:r>
              <w:rPr>
                <w:rFonts w:asciiTheme="minorEastAsia" w:hAnsiTheme="minorEastAsia" w:eastAsiaTheme="minorEastAsia"/>
                <w:bCs/>
                <w:sz w:val="26"/>
                <w:szCs w:val="26"/>
              </w:rPr>
              <w:t>3</w:t>
            </w:r>
          </w:p>
        </w:tc>
      </w:tr>
      <w:tr w14:paraId="1BFC9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0" w:type="auto"/>
            <w:tcBorders>
              <w:top w:val="single" w:color="auto" w:sz="4" w:space="0"/>
              <w:left w:val="single" w:color="auto" w:sz="4" w:space="0"/>
              <w:bottom w:val="single" w:color="auto" w:sz="4" w:space="0"/>
              <w:right w:val="single" w:color="auto" w:sz="4" w:space="0"/>
            </w:tcBorders>
            <w:vAlign w:val="center"/>
          </w:tcPr>
          <w:p w14:paraId="25DD872F">
            <w:pPr>
              <w:pStyle w:val="45"/>
              <w:jc w:val="both"/>
              <w:rPr>
                <w:rFonts w:asciiTheme="minorEastAsia" w:hAnsiTheme="minorEastAsia" w:eastAsiaTheme="minorEastAsia"/>
                <w:bCs/>
                <w:sz w:val="26"/>
                <w:szCs w:val="26"/>
              </w:rPr>
            </w:pPr>
            <w:r>
              <w:rPr>
                <w:rFonts w:asciiTheme="minorEastAsia" w:hAnsiTheme="minorEastAsia" w:eastAsiaTheme="minorEastAsia"/>
                <w:bCs/>
                <w:sz w:val="26"/>
                <w:szCs w:val="26"/>
              </w:rPr>
              <w:t>T3、根据投标人的人员培训方案进行评价：</w:t>
            </w:r>
          </w:p>
          <w:p w14:paraId="6107AD4A">
            <w:pPr>
              <w:pStyle w:val="45"/>
              <w:jc w:val="both"/>
              <w:rPr>
                <w:rFonts w:asciiTheme="minorEastAsia" w:hAnsiTheme="minorEastAsia" w:eastAsiaTheme="minorEastAsia"/>
                <w:bCs/>
                <w:sz w:val="26"/>
                <w:szCs w:val="26"/>
              </w:rPr>
            </w:pPr>
            <w:r>
              <w:rPr>
                <w:rFonts w:asciiTheme="minorEastAsia" w:hAnsiTheme="minorEastAsia" w:eastAsiaTheme="minorEastAsia"/>
                <w:bCs/>
                <w:sz w:val="26"/>
                <w:szCs w:val="26"/>
              </w:rPr>
              <w:t>制定的人员培训方案至少包含培训计划、培训内容、培训讲师、培训课时安排，方案能够满足本项目需求的得2.8分；培训方案突出培训重难点、并有相应措施，人员安排、课时安排合理有序，有达到预期目标的考核机制，确保培训内容符合项目需求的得3分；</w:t>
            </w:r>
          </w:p>
          <w:p w14:paraId="7E8FD09D">
            <w:pPr>
              <w:pStyle w:val="45"/>
              <w:jc w:val="both"/>
              <w:rPr>
                <w:rFonts w:asciiTheme="minorEastAsia" w:hAnsiTheme="minorEastAsia" w:eastAsiaTheme="minorEastAsia"/>
                <w:bCs/>
                <w:sz w:val="26"/>
                <w:szCs w:val="26"/>
              </w:rPr>
            </w:pPr>
            <w:r>
              <w:rPr>
                <w:rFonts w:asciiTheme="minorEastAsia" w:hAnsiTheme="minorEastAsia" w:eastAsiaTheme="minorEastAsia"/>
                <w:bCs/>
                <w:sz w:val="26"/>
                <w:szCs w:val="26"/>
              </w:rPr>
              <w:t>其他情况不得分。</w:t>
            </w:r>
          </w:p>
        </w:tc>
        <w:tc>
          <w:tcPr>
            <w:tcW w:w="0" w:type="auto"/>
            <w:tcBorders>
              <w:top w:val="single" w:color="auto" w:sz="4" w:space="0"/>
              <w:left w:val="single" w:color="auto" w:sz="4" w:space="0"/>
              <w:bottom w:val="single" w:color="auto" w:sz="4" w:space="0"/>
              <w:right w:val="single" w:color="auto" w:sz="4" w:space="0"/>
            </w:tcBorders>
            <w:vAlign w:val="center"/>
          </w:tcPr>
          <w:p w14:paraId="6E4303FA">
            <w:pPr>
              <w:pStyle w:val="45"/>
              <w:jc w:val="both"/>
              <w:rPr>
                <w:rFonts w:asciiTheme="minorEastAsia" w:hAnsiTheme="minorEastAsia" w:eastAsiaTheme="minorEastAsia"/>
                <w:bCs/>
                <w:sz w:val="26"/>
                <w:szCs w:val="26"/>
              </w:rPr>
            </w:pPr>
            <w:r>
              <w:rPr>
                <w:rFonts w:asciiTheme="minorEastAsia" w:hAnsiTheme="minorEastAsia" w:eastAsiaTheme="minorEastAsia"/>
                <w:bCs/>
                <w:sz w:val="26"/>
                <w:szCs w:val="26"/>
              </w:rPr>
              <w:t>3</w:t>
            </w:r>
          </w:p>
        </w:tc>
      </w:tr>
      <w:tr w14:paraId="4F367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1" w:hRule="atLeast"/>
        </w:trPr>
        <w:tc>
          <w:tcPr>
            <w:tcW w:w="0" w:type="auto"/>
            <w:tcBorders>
              <w:top w:val="single" w:color="auto" w:sz="4" w:space="0"/>
              <w:left w:val="single" w:color="auto" w:sz="4" w:space="0"/>
              <w:bottom w:val="single" w:color="auto" w:sz="4" w:space="0"/>
              <w:right w:val="single" w:color="auto" w:sz="4" w:space="0"/>
            </w:tcBorders>
            <w:vAlign w:val="center"/>
          </w:tcPr>
          <w:p w14:paraId="438246AF">
            <w:pPr>
              <w:pStyle w:val="45"/>
              <w:jc w:val="both"/>
              <w:rPr>
                <w:rFonts w:asciiTheme="minorEastAsia" w:hAnsiTheme="minorEastAsia" w:eastAsiaTheme="minorEastAsia"/>
                <w:bCs/>
                <w:sz w:val="26"/>
                <w:szCs w:val="26"/>
              </w:rPr>
            </w:pPr>
            <w:r>
              <w:rPr>
                <w:rFonts w:asciiTheme="minorEastAsia" w:hAnsiTheme="minorEastAsia" w:eastAsiaTheme="minorEastAsia"/>
                <w:bCs/>
                <w:sz w:val="26"/>
                <w:szCs w:val="26"/>
              </w:rPr>
              <w:t>T4、根据投标人的人员配备方案进行评价：</w:t>
            </w:r>
          </w:p>
          <w:p w14:paraId="2EFAA6F7">
            <w:pPr>
              <w:pStyle w:val="45"/>
              <w:jc w:val="both"/>
              <w:rPr>
                <w:rFonts w:asciiTheme="minorEastAsia" w:hAnsiTheme="minorEastAsia" w:eastAsiaTheme="minorEastAsia"/>
                <w:bCs/>
                <w:sz w:val="26"/>
                <w:szCs w:val="26"/>
              </w:rPr>
            </w:pPr>
            <w:r>
              <w:rPr>
                <w:rFonts w:asciiTheme="minorEastAsia" w:hAnsiTheme="minorEastAsia" w:eastAsiaTheme="minorEastAsia"/>
                <w:bCs/>
                <w:sz w:val="26"/>
                <w:szCs w:val="26"/>
              </w:rPr>
              <w:t>制定的人员配备方案至少包含人员招聘、人员岗位职责、人员能力要求、人员考核，方案能够满足本项目需求的得2.8分；人员配备方案能确保各类人员配置齐全、科学，人员持有专业上岗证（如健康合格证、上岗/护工合格证/健康照护证等；人员考核有奖罚淘汰制度，有助于提升本项目服务的得3分；</w:t>
            </w:r>
          </w:p>
          <w:p w14:paraId="60E41889">
            <w:pPr>
              <w:pStyle w:val="45"/>
              <w:jc w:val="both"/>
              <w:rPr>
                <w:rFonts w:asciiTheme="minorEastAsia" w:hAnsiTheme="minorEastAsia" w:eastAsiaTheme="minorEastAsia"/>
                <w:bCs/>
                <w:sz w:val="26"/>
                <w:szCs w:val="26"/>
              </w:rPr>
            </w:pPr>
            <w:r>
              <w:rPr>
                <w:rFonts w:asciiTheme="minorEastAsia" w:hAnsiTheme="minorEastAsia" w:eastAsiaTheme="minorEastAsia"/>
                <w:bCs/>
                <w:sz w:val="26"/>
                <w:szCs w:val="26"/>
              </w:rPr>
              <w:t>其他情况不得分。</w:t>
            </w:r>
          </w:p>
        </w:tc>
        <w:tc>
          <w:tcPr>
            <w:tcW w:w="0" w:type="auto"/>
            <w:tcBorders>
              <w:top w:val="single" w:color="auto" w:sz="4" w:space="0"/>
              <w:left w:val="single" w:color="auto" w:sz="4" w:space="0"/>
              <w:bottom w:val="single" w:color="auto" w:sz="4" w:space="0"/>
              <w:right w:val="single" w:color="auto" w:sz="4" w:space="0"/>
            </w:tcBorders>
            <w:vAlign w:val="center"/>
          </w:tcPr>
          <w:p w14:paraId="298E3290">
            <w:pPr>
              <w:pStyle w:val="45"/>
              <w:jc w:val="both"/>
              <w:rPr>
                <w:rFonts w:asciiTheme="minorEastAsia" w:hAnsiTheme="minorEastAsia" w:eastAsiaTheme="minorEastAsia"/>
                <w:bCs/>
                <w:sz w:val="26"/>
                <w:szCs w:val="26"/>
              </w:rPr>
            </w:pPr>
            <w:r>
              <w:rPr>
                <w:rFonts w:asciiTheme="minorEastAsia" w:hAnsiTheme="minorEastAsia" w:eastAsiaTheme="minorEastAsia"/>
                <w:bCs/>
                <w:sz w:val="26"/>
                <w:szCs w:val="26"/>
              </w:rPr>
              <w:t>3</w:t>
            </w:r>
          </w:p>
        </w:tc>
      </w:tr>
      <w:tr w14:paraId="59085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1" w:hRule="atLeast"/>
        </w:trPr>
        <w:tc>
          <w:tcPr>
            <w:tcW w:w="0" w:type="auto"/>
            <w:tcBorders>
              <w:top w:val="single" w:color="auto" w:sz="4" w:space="0"/>
              <w:left w:val="single" w:color="auto" w:sz="4" w:space="0"/>
              <w:bottom w:val="single" w:color="auto" w:sz="4" w:space="0"/>
              <w:right w:val="single" w:color="auto" w:sz="4" w:space="0"/>
            </w:tcBorders>
            <w:vAlign w:val="center"/>
          </w:tcPr>
          <w:p w14:paraId="7A666E20">
            <w:pPr>
              <w:pStyle w:val="45"/>
              <w:jc w:val="both"/>
              <w:rPr>
                <w:rFonts w:asciiTheme="minorEastAsia" w:hAnsiTheme="minorEastAsia" w:eastAsiaTheme="minorEastAsia"/>
                <w:bCs/>
                <w:sz w:val="26"/>
                <w:szCs w:val="26"/>
              </w:rPr>
            </w:pPr>
            <w:r>
              <w:rPr>
                <w:rFonts w:asciiTheme="minorEastAsia" w:hAnsiTheme="minorEastAsia" w:eastAsiaTheme="minorEastAsia"/>
                <w:bCs/>
                <w:sz w:val="26"/>
                <w:szCs w:val="26"/>
              </w:rPr>
              <w:t>T5、根据投标人的应急突发事件处理预案进行评价：</w:t>
            </w:r>
          </w:p>
          <w:p w14:paraId="5F5AEFD1">
            <w:pPr>
              <w:pStyle w:val="45"/>
              <w:jc w:val="both"/>
              <w:rPr>
                <w:rFonts w:asciiTheme="minorEastAsia" w:hAnsiTheme="minorEastAsia" w:eastAsiaTheme="minorEastAsia"/>
                <w:bCs/>
                <w:sz w:val="26"/>
                <w:szCs w:val="26"/>
              </w:rPr>
            </w:pPr>
            <w:r>
              <w:rPr>
                <w:rFonts w:asciiTheme="minorEastAsia" w:hAnsiTheme="minorEastAsia" w:eastAsiaTheme="minorEastAsia"/>
                <w:bCs/>
                <w:sz w:val="26"/>
                <w:szCs w:val="26"/>
              </w:rPr>
              <w:t>制定的应急预案至少包含日常服务保障措施、各类突发事件的保障措施，方案能够满足本项目需求的得2.8分；制定的方案有结合医院的实际情况，具有针对性，制定有疫情期间服务方案，能有效处理各种突发情况，提升本项目服务的得3分；</w:t>
            </w:r>
          </w:p>
          <w:p w14:paraId="3F3B22AB">
            <w:pPr>
              <w:pStyle w:val="45"/>
              <w:jc w:val="both"/>
              <w:rPr>
                <w:rFonts w:asciiTheme="minorEastAsia" w:hAnsiTheme="minorEastAsia" w:eastAsiaTheme="minorEastAsia"/>
                <w:bCs/>
                <w:sz w:val="26"/>
                <w:szCs w:val="26"/>
              </w:rPr>
            </w:pPr>
            <w:r>
              <w:rPr>
                <w:rFonts w:asciiTheme="minorEastAsia" w:hAnsiTheme="minorEastAsia" w:eastAsiaTheme="minorEastAsia"/>
                <w:bCs/>
                <w:sz w:val="26"/>
                <w:szCs w:val="26"/>
              </w:rPr>
              <w:t>其他情况不得分。</w:t>
            </w:r>
          </w:p>
        </w:tc>
        <w:tc>
          <w:tcPr>
            <w:tcW w:w="0" w:type="auto"/>
            <w:tcBorders>
              <w:top w:val="single" w:color="auto" w:sz="4" w:space="0"/>
              <w:left w:val="single" w:color="auto" w:sz="4" w:space="0"/>
              <w:bottom w:val="single" w:color="auto" w:sz="4" w:space="0"/>
              <w:right w:val="single" w:color="auto" w:sz="4" w:space="0"/>
            </w:tcBorders>
            <w:vAlign w:val="center"/>
          </w:tcPr>
          <w:p w14:paraId="5AADCFC3">
            <w:pPr>
              <w:pStyle w:val="45"/>
              <w:jc w:val="both"/>
              <w:rPr>
                <w:rFonts w:asciiTheme="minorEastAsia" w:hAnsiTheme="minorEastAsia" w:eastAsiaTheme="minorEastAsia"/>
                <w:bCs/>
                <w:sz w:val="26"/>
                <w:szCs w:val="26"/>
              </w:rPr>
            </w:pPr>
            <w:r>
              <w:rPr>
                <w:rFonts w:asciiTheme="minorEastAsia" w:hAnsiTheme="minorEastAsia" w:eastAsiaTheme="minorEastAsia"/>
                <w:bCs/>
                <w:sz w:val="26"/>
                <w:szCs w:val="26"/>
              </w:rPr>
              <w:t>3</w:t>
            </w:r>
          </w:p>
        </w:tc>
      </w:tr>
      <w:tr w14:paraId="57CB3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1" w:hRule="atLeast"/>
        </w:trPr>
        <w:tc>
          <w:tcPr>
            <w:tcW w:w="0" w:type="auto"/>
            <w:tcBorders>
              <w:top w:val="single" w:color="auto" w:sz="4" w:space="0"/>
              <w:left w:val="single" w:color="auto" w:sz="4" w:space="0"/>
              <w:bottom w:val="single" w:color="auto" w:sz="4" w:space="0"/>
              <w:right w:val="single" w:color="auto" w:sz="4" w:space="0"/>
            </w:tcBorders>
            <w:vAlign w:val="center"/>
          </w:tcPr>
          <w:p w14:paraId="6A1811D3">
            <w:pPr>
              <w:pStyle w:val="45"/>
              <w:jc w:val="both"/>
              <w:rPr>
                <w:rFonts w:asciiTheme="minorEastAsia" w:hAnsiTheme="minorEastAsia" w:eastAsiaTheme="minorEastAsia"/>
                <w:bCs/>
                <w:sz w:val="26"/>
                <w:szCs w:val="26"/>
              </w:rPr>
            </w:pPr>
            <w:r>
              <w:rPr>
                <w:rFonts w:asciiTheme="minorEastAsia" w:hAnsiTheme="minorEastAsia" w:eastAsiaTheme="minorEastAsia"/>
                <w:bCs/>
                <w:sz w:val="26"/>
                <w:szCs w:val="26"/>
              </w:rPr>
              <w:t>T6、投标人自行选择一种情况制定一天的陪护方案，根据制定的患者服务计划进行评价：服务计划按时间顺序安排患者全天应做事项，对护理员应完成事项内容、标准、质量有明确要求，基本满足医疗护理需求的得2.8分；有制定患者突发情况处理方案，有提出更高的服务质量标准，列明护理需投入的工具设备的得3分；否则不得分。</w:t>
            </w:r>
          </w:p>
        </w:tc>
        <w:tc>
          <w:tcPr>
            <w:tcW w:w="0" w:type="auto"/>
            <w:tcBorders>
              <w:top w:val="single" w:color="auto" w:sz="4" w:space="0"/>
              <w:left w:val="single" w:color="auto" w:sz="4" w:space="0"/>
              <w:bottom w:val="single" w:color="auto" w:sz="4" w:space="0"/>
              <w:right w:val="single" w:color="auto" w:sz="4" w:space="0"/>
            </w:tcBorders>
            <w:vAlign w:val="center"/>
          </w:tcPr>
          <w:p w14:paraId="3870BB39">
            <w:pPr>
              <w:pStyle w:val="45"/>
              <w:jc w:val="both"/>
              <w:rPr>
                <w:rFonts w:asciiTheme="minorEastAsia" w:hAnsiTheme="minorEastAsia" w:eastAsiaTheme="minorEastAsia"/>
                <w:bCs/>
                <w:sz w:val="26"/>
                <w:szCs w:val="26"/>
              </w:rPr>
            </w:pPr>
            <w:r>
              <w:rPr>
                <w:rFonts w:asciiTheme="minorEastAsia" w:hAnsiTheme="minorEastAsia" w:eastAsiaTheme="minorEastAsia"/>
                <w:bCs/>
                <w:sz w:val="26"/>
                <w:szCs w:val="26"/>
              </w:rPr>
              <w:t>3</w:t>
            </w:r>
          </w:p>
        </w:tc>
      </w:tr>
      <w:tr w14:paraId="5408C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0" w:type="auto"/>
            <w:tcBorders>
              <w:top w:val="single" w:color="auto" w:sz="4" w:space="0"/>
              <w:left w:val="single" w:color="auto" w:sz="4" w:space="0"/>
              <w:bottom w:val="single" w:color="auto" w:sz="4" w:space="0"/>
              <w:right w:val="single" w:color="auto" w:sz="4" w:space="0"/>
            </w:tcBorders>
            <w:vAlign w:val="center"/>
          </w:tcPr>
          <w:p w14:paraId="4712AE03">
            <w:pPr>
              <w:pStyle w:val="45"/>
              <w:jc w:val="both"/>
              <w:rPr>
                <w:rFonts w:asciiTheme="minorEastAsia" w:hAnsiTheme="minorEastAsia" w:eastAsiaTheme="minorEastAsia"/>
                <w:bCs/>
                <w:sz w:val="26"/>
                <w:szCs w:val="26"/>
              </w:rPr>
            </w:pPr>
            <w:r>
              <w:rPr>
                <w:rFonts w:asciiTheme="minorEastAsia" w:hAnsiTheme="minorEastAsia" w:eastAsiaTheme="minorEastAsia"/>
                <w:bCs/>
                <w:sz w:val="26"/>
                <w:szCs w:val="26"/>
              </w:rPr>
              <w:t>T7、投标人对不同级别护理要求有明确的服务标准和内容，内容清晰、科学合理，符合相关标准规范的得3分，否则不得分。</w:t>
            </w:r>
          </w:p>
        </w:tc>
        <w:tc>
          <w:tcPr>
            <w:tcW w:w="0" w:type="auto"/>
            <w:tcBorders>
              <w:top w:val="single" w:color="auto" w:sz="4" w:space="0"/>
              <w:left w:val="single" w:color="auto" w:sz="4" w:space="0"/>
              <w:bottom w:val="single" w:color="auto" w:sz="4" w:space="0"/>
              <w:right w:val="single" w:color="auto" w:sz="4" w:space="0"/>
            </w:tcBorders>
            <w:vAlign w:val="center"/>
          </w:tcPr>
          <w:p w14:paraId="32AA8DA5">
            <w:pPr>
              <w:pStyle w:val="45"/>
              <w:jc w:val="both"/>
              <w:rPr>
                <w:rFonts w:asciiTheme="minorEastAsia" w:hAnsiTheme="minorEastAsia" w:eastAsiaTheme="minorEastAsia"/>
                <w:bCs/>
                <w:sz w:val="26"/>
                <w:szCs w:val="26"/>
              </w:rPr>
            </w:pPr>
            <w:r>
              <w:rPr>
                <w:rFonts w:asciiTheme="minorEastAsia" w:hAnsiTheme="minorEastAsia" w:eastAsiaTheme="minorEastAsia"/>
                <w:bCs/>
                <w:sz w:val="26"/>
                <w:szCs w:val="26"/>
              </w:rPr>
              <w:t>3</w:t>
            </w:r>
          </w:p>
        </w:tc>
      </w:tr>
      <w:tr w14:paraId="2EE28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0" w:type="auto"/>
            <w:tcBorders>
              <w:top w:val="single" w:color="auto" w:sz="4" w:space="0"/>
              <w:left w:val="single" w:color="auto" w:sz="4" w:space="0"/>
              <w:bottom w:val="single" w:color="auto" w:sz="4" w:space="0"/>
              <w:right w:val="single" w:color="auto" w:sz="4" w:space="0"/>
            </w:tcBorders>
            <w:vAlign w:val="center"/>
          </w:tcPr>
          <w:p w14:paraId="402C13EA">
            <w:pPr>
              <w:pStyle w:val="45"/>
              <w:jc w:val="both"/>
              <w:rPr>
                <w:rFonts w:asciiTheme="minorEastAsia" w:hAnsiTheme="minorEastAsia" w:eastAsiaTheme="minorEastAsia"/>
                <w:bCs/>
                <w:sz w:val="26"/>
                <w:szCs w:val="26"/>
              </w:rPr>
            </w:pPr>
            <w:r>
              <w:rPr>
                <w:rFonts w:asciiTheme="minorEastAsia" w:hAnsiTheme="minorEastAsia" w:eastAsiaTheme="minorEastAsia"/>
                <w:bCs/>
                <w:sz w:val="26"/>
                <w:szCs w:val="26"/>
              </w:rPr>
              <w:t>T8、服务响应能力：有服务需求时响应时间≤2小时的得1分，≤1小时的得3分。需提供承诺函，否则不得分。</w:t>
            </w:r>
          </w:p>
        </w:tc>
        <w:tc>
          <w:tcPr>
            <w:tcW w:w="0" w:type="auto"/>
            <w:tcBorders>
              <w:top w:val="single" w:color="auto" w:sz="4" w:space="0"/>
              <w:left w:val="single" w:color="auto" w:sz="4" w:space="0"/>
              <w:bottom w:val="single" w:color="auto" w:sz="4" w:space="0"/>
              <w:right w:val="single" w:color="auto" w:sz="4" w:space="0"/>
            </w:tcBorders>
            <w:vAlign w:val="center"/>
          </w:tcPr>
          <w:p w14:paraId="7604BD63">
            <w:pPr>
              <w:pStyle w:val="45"/>
              <w:jc w:val="both"/>
              <w:rPr>
                <w:rFonts w:asciiTheme="minorEastAsia" w:hAnsiTheme="minorEastAsia" w:eastAsiaTheme="minorEastAsia"/>
                <w:bCs/>
                <w:sz w:val="26"/>
                <w:szCs w:val="26"/>
              </w:rPr>
            </w:pPr>
            <w:r>
              <w:rPr>
                <w:rFonts w:asciiTheme="minorEastAsia" w:hAnsiTheme="minorEastAsia" w:eastAsiaTheme="minorEastAsia"/>
                <w:bCs/>
                <w:sz w:val="26"/>
                <w:szCs w:val="26"/>
              </w:rPr>
              <w:t>3</w:t>
            </w:r>
          </w:p>
        </w:tc>
      </w:tr>
      <w:tr w14:paraId="5AEF8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0" w:type="auto"/>
            <w:tcBorders>
              <w:top w:val="single" w:color="auto" w:sz="4" w:space="0"/>
              <w:left w:val="single" w:color="auto" w:sz="4" w:space="0"/>
              <w:bottom w:val="single" w:color="auto" w:sz="4" w:space="0"/>
              <w:right w:val="single" w:color="auto" w:sz="4" w:space="0"/>
            </w:tcBorders>
            <w:vAlign w:val="center"/>
          </w:tcPr>
          <w:p w14:paraId="01929F29">
            <w:pPr>
              <w:pStyle w:val="45"/>
              <w:jc w:val="both"/>
              <w:rPr>
                <w:rFonts w:asciiTheme="minorEastAsia" w:hAnsiTheme="minorEastAsia" w:eastAsiaTheme="minorEastAsia"/>
                <w:bCs/>
                <w:sz w:val="26"/>
                <w:szCs w:val="26"/>
              </w:rPr>
            </w:pPr>
            <w:r>
              <w:rPr>
                <w:rFonts w:asciiTheme="minorEastAsia" w:hAnsiTheme="minorEastAsia" w:eastAsiaTheme="minorEastAsia"/>
                <w:bCs/>
                <w:sz w:val="26"/>
                <w:szCs w:val="26"/>
              </w:rPr>
              <w:t>T9、投标人承诺：如中标，将需严格按照《陪护人员缺陷管理制度》、《治安及消防安全要求细则》执行。提供承诺的得3分，否则不得分。</w:t>
            </w:r>
          </w:p>
        </w:tc>
        <w:tc>
          <w:tcPr>
            <w:tcW w:w="0" w:type="auto"/>
            <w:tcBorders>
              <w:top w:val="single" w:color="auto" w:sz="4" w:space="0"/>
              <w:left w:val="single" w:color="auto" w:sz="4" w:space="0"/>
              <w:bottom w:val="single" w:color="auto" w:sz="4" w:space="0"/>
              <w:right w:val="single" w:color="auto" w:sz="4" w:space="0"/>
            </w:tcBorders>
            <w:vAlign w:val="center"/>
          </w:tcPr>
          <w:p w14:paraId="70F0A4CF">
            <w:pPr>
              <w:pStyle w:val="45"/>
              <w:jc w:val="both"/>
              <w:rPr>
                <w:rFonts w:asciiTheme="minorEastAsia" w:hAnsiTheme="minorEastAsia" w:eastAsiaTheme="minorEastAsia"/>
                <w:bCs/>
                <w:sz w:val="26"/>
                <w:szCs w:val="26"/>
              </w:rPr>
            </w:pPr>
            <w:r>
              <w:rPr>
                <w:rFonts w:asciiTheme="minorEastAsia" w:hAnsiTheme="minorEastAsia" w:eastAsiaTheme="minorEastAsia"/>
                <w:bCs/>
                <w:sz w:val="26"/>
                <w:szCs w:val="26"/>
              </w:rPr>
              <w:t>3</w:t>
            </w:r>
          </w:p>
        </w:tc>
      </w:tr>
      <w:tr w14:paraId="279DA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0" w:type="auto"/>
            <w:tcBorders>
              <w:top w:val="single" w:color="auto" w:sz="4" w:space="0"/>
              <w:left w:val="single" w:color="auto" w:sz="4" w:space="0"/>
              <w:bottom w:val="single" w:color="auto" w:sz="4" w:space="0"/>
              <w:right w:val="single" w:color="auto" w:sz="4" w:space="0"/>
            </w:tcBorders>
            <w:vAlign w:val="center"/>
          </w:tcPr>
          <w:p w14:paraId="32879E53">
            <w:pPr>
              <w:pStyle w:val="45"/>
              <w:jc w:val="both"/>
              <w:rPr>
                <w:rFonts w:asciiTheme="minorEastAsia" w:hAnsiTheme="minorEastAsia" w:eastAsiaTheme="minorEastAsia"/>
                <w:bCs/>
                <w:sz w:val="26"/>
                <w:szCs w:val="26"/>
              </w:rPr>
            </w:pPr>
            <w:r>
              <w:rPr>
                <w:rFonts w:asciiTheme="minorEastAsia" w:hAnsiTheme="minorEastAsia" w:eastAsiaTheme="minorEastAsia"/>
                <w:bCs/>
                <w:sz w:val="26"/>
                <w:szCs w:val="26"/>
              </w:rPr>
              <w:t>T10、根据投标人拟投入本项目的项目经理（项目负责人）情况进行评价：</w:t>
            </w:r>
          </w:p>
          <w:p w14:paraId="17D19D90">
            <w:pPr>
              <w:pStyle w:val="45"/>
              <w:jc w:val="both"/>
              <w:rPr>
                <w:rFonts w:asciiTheme="minorEastAsia" w:hAnsiTheme="minorEastAsia" w:eastAsiaTheme="minorEastAsia"/>
                <w:bCs/>
                <w:sz w:val="26"/>
                <w:szCs w:val="26"/>
              </w:rPr>
            </w:pPr>
            <w:r>
              <w:rPr>
                <w:rFonts w:asciiTheme="minorEastAsia" w:hAnsiTheme="minorEastAsia" w:eastAsiaTheme="minorEastAsia"/>
                <w:bCs/>
                <w:sz w:val="26"/>
                <w:szCs w:val="26"/>
              </w:rPr>
              <w:t>（1）具有全日制大学本科（护理学专业）或以上学历的得1分，否则不得分。</w:t>
            </w:r>
          </w:p>
          <w:p w14:paraId="253E8034">
            <w:pPr>
              <w:pStyle w:val="45"/>
              <w:jc w:val="both"/>
              <w:rPr>
                <w:rFonts w:asciiTheme="minorEastAsia" w:hAnsiTheme="minorEastAsia" w:eastAsiaTheme="minorEastAsia"/>
                <w:bCs/>
                <w:sz w:val="26"/>
                <w:szCs w:val="26"/>
              </w:rPr>
            </w:pPr>
            <w:r>
              <w:rPr>
                <w:rFonts w:asciiTheme="minorEastAsia" w:hAnsiTheme="minorEastAsia" w:eastAsiaTheme="minorEastAsia"/>
                <w:bCs/>
                <w:sz w:val="26"/>
                <w:szCs w:val="26"/>
              </w:rPr>
              <w:t>（2）持有《护士执业证书》得1分，否则不得分。</w:t>
            </w:r>
          </w:p>
          <w:p w14:paraId="69C909AE">
            <w:pPr>
              <w:pStyle w:val="45"/>
              <w:jc w:val="both"/>
              <w:rPr>
                <w:rFonts w:asciiTheme="minorEastAsia" w:hAnsiTheme="minorEastAsia" w:eastAsiaTheme="minorEastAsia"/>
                <w:bCs/>
                <w:sz w:val="26"/>
                <w:szCs w:val="26"/>
              </w:rPr>
            </w:pPr>
            <w:r>
              <w:rPr>
                <w:rFonts w:asciiTheme="minorEastAsia" w:hAnsiTheme="minorEastAsia" w:eastAsiaTheme="minorEastAsia"/>
                <w:bCs/>
                <w:sz w:val="26"/>
                <w:szCs w:val="26"/>
              </w:rPr>
              <w:t>（3）持有中级或以上护理相关证书的得2分，否则不得分。</w:t>
            </w:r>
          </w:p>
          <w:p w14:paraId="60853A4A">
            <w:pPr>
              <w:pStyle w:val="45"/>
              <w:jc w:val="both"/>
              <w:rPr>
                <w:rFonts w:asciiTheme="minorEastAsia" w:hAnsiTheme="minorEastAsia" w:eastAsiaTheme="minorEastAsia"/>
                <w:bCs/>
                <w:sz w:val="26"/>
                <w:szCs w:val="26"/>
              </w:rPr>
            </w:pPr>
            <w:r>
              <w:rPr>
                <w:rFonts w:asciiTheme="minorEastAsia" w:hAnsiTheme="minorEastAsia" w:eastAsiaTheme="minorEastAsia"/>
                <w:bCs/>
                <w:sz w:val="26"/>
                <w:szCs w:val="26"/>
              </w:rPr>
              <w:t>（4）具有从事三级甲等医院管理工作经验四年及以上的得2分，需提供医院出具的证明，否则不得分。</w:t>
            </w:r>
          </w:p>
          <w:p w14:paraId="721A202A">
            <w:pPr>
              <w:pStyle w:val="45"/>
              <w:jc w:val="both"/>
              <w:rPr>
                <w:rFonts w:asciiTheme="minorEastAsia" w:hAnsiTheme="minorEastAsia" w:eastAsiaTheme="minorEastAsia"/>
                <w:bCs/>
                <w:sz w:val="26"/>
                <w:szCs w:val="26"/>
              </w:rPr>
            </w:pPr>
            <w:r>
              <w:rPr>
                <w:rFonts w:asciiTheme="minorEastAsia" w:hAnsiTheme="minorEastAsia" w:eastAsiaTheme="minorEastAsia"/>
                <w:bCs/>
                <w:sz w:val="26"/>
                <w:szCs w:val="26"/>
              </w:rPr>
              <w:t>(5)具备国家级护理员/护工培训师资证书得2分，否则不得分。</w:t>
            </w:r>
          </w:p>
          <w:p w14:paraId="5030CCFA">
            <w:pPr>
              <w:pStyle w:val="45"/>
              <w:jc w:val="both"/>
              <w:rPr>
                <w:rFonts w:asciiTheme="minorEastAsia" w:hAnsiTheme="minorEastAsia" w:eastAsiaTheme="minorEastAsia"/>
                <w:bCs/>
                <w:sz w:val="26"/>
                <w:szCs w:val="26"/>
              </w:rPr>
            </w:pPr>
            <w:r>
              <w:rPr>
                <w:rFonts w:asciiTheme="minorEastAsia" w:hAnsiTheme="minorEastAsia" w:eastAsiaTheme="minorEastAsia"/>
                <w:bCs/>
                <w:sz w:val="26"/>
                <w:szCs w:val="26"/>
              </w:rPr>
              <w:t>注：需提供项目经理身份证复印件、劳动合同、投标人为其缴纳社保的证明（近六个月任一个月，不含开标当月），以及评分对应的证书、证明，否则不得分。</w:t>
            </w:r>
          </w:p>
        </w:tc>
        <w:tc>
          <w:tcPr>
            <w:tcW w:w="0" w:type="auto"/>
            <w:tcBorders>
              <w:top w:val="single" w:color="auto" w:sz="4" w:space="0"/>
              <w:left w:val="single" w:color="auto" w:sz="4" w:space="0"/>
              <w:bottom w:val="single" w:color="auto" w:sz="4" w:space="0"/>
              <w:right w:val="single" w:color="auto" w:sz="4" w:space="0"/>
            </w:tcBorders>
            <w:vAlign w:val="center"/>
          </w:tcPr>
          <w:p w14:paraId="7B347C9E">
            <w:pPr>
              <w:pStyle w:val="45"/>
              <w:jc w:val="both"/>
              <w:rPr>
                <w:rFonts w:asciiTheme="minorEastAsia" w:hAnsiTheme="minorEastAsia" w:eastAsiaTheme="minorEastAsia"/>
                <w:bCs/>
                <w:sz w:val="26"/>
                <w:szCs w:val="26"/>
              </w:rPr>
            </w:pPr>
            <w:r>
              <w:rPr>
                <w:rFonts w:asciiTheme="minorEastAsia" w:hAnsiTheme="minorEastAsia" w:eastAsiaTheme="minorEastAsia"/>
                <w:bCs/>
                <w:sz w:val="26"/>
                <w:szCs w:val="26"/>
              </w:rPr>
              <w:t>8</w:t>
            </w:r>
          </w:p>
        </w:tc>
      </w:tr>
      <w:tr w14:paraId="1B8A6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1" w:hRule="atLeast"/>
        </w:trPr>
        <w:tc>
          <w:tcPr>
            <w:tcW w:w="0" w:type="auto"/>
            <w:tcBorders>
              <w:top w:val="single" w:color="auto" w:sz="4" w:space="0"/>
              <w:left w:val="single" w:color="auto" w:sz="4" w:space="0"/>
              <w:bottom w:val="single" w:color="auto" w:sz="4" w:space="0"/>
              <w:right w:val="single" w:color="auto" w:sz="4" w:space="0"/>
            </w:tcBorders>
            <w:vAlign w:val="center"/>
          </w:tcPr>
          <w:p w14:paraId="436E28AE">
            <w:pPr>
              <w:pStyle w:val="45"/>
              <w:jc w:val="both"/>
              <w:rPr>
                <w:rFonts w:asciiTheme="minorEastAsia" w:hAnsiTheme="minorEastAsia" w:eastAsiaTheme="minorEastAsia"/>
                <w:bCs/>
                <w:sz w:val="26"/>
                <w:szCs w:val="26"/>
              </w:rPr>
            </w:pPr>
            <w:r>
              <w:rPr>
                <w:rFonts w:asciiTheme="minorEastAsia" w:hAnsiTheme="minorEastAsia" w:eastAsiaTheme="minorEastAsia"/>
                <w:bCs/>
                <w:sz w:val="26"/>
                <w:szCs w:val="26"/>
              </w:rPr>
              <w:t>T11、根据投标人拟投入本项目的其他人员情况进行评价：</w:t>
            </w:r>
          </w:p>
          <w:p w14:paraId="741B6DEE">
            <w:pPr>
              <w:pStyle w:val="45"/>
              <w:jc w:val="both"/>
              <w:rPr>
                <w:rFonts w:asciiTheme="minorEastAsia" w:hAnsiTheme="minorEastAsia" w:eastAsiaTheme="minorEastAsia"/>
                <w:bCs/>
                <w:sz w:val="26"/>
                <w:szCs w:val="26"/>
              </w:rPr>
            </w:pPr>
            <w:r>
              <w:rPr>
                <w:rFonts w:asciiTheme="minorEastAsia" w:hAnsiTheme="minorEastAsia" w:eastAsiaTheme="minorEastAsia"/>
                <w:bCs/>
                <w:sz w:val="26"/>
                <w:szCs w:val="26"/>
              </w:rPr>
              <w:t>（1）投标人承诺为本项目配置的现场管理人员2人（含）以上（除项目经理外）的得1分，需提供承诺函，否则不得分。</w:t>
            </w:r>
          </w:p>
          <w:p w14:paraId="5B5531AE">
            <w:pPr>
              <w:pStyle w:val="45"/>
              <w:jc w:val="both"/>
              <w:rPr>
                <w:rFonts w:asciiTheme="minorEastAsia" w:hAnsiTheme="minorEastAsia" w:eastAsiaTheme="minorEastAsia"/>
                <w:bCs/>
                <w:sz w:val="26"/>
                <w:szCs w:val="26"/>
              </w:rPr>
            </w:pPr>
            <w:r>
              <w:rPr>
                <w:rFonts w:asciiTheme="minorEastAsia" w:hAnsiTheme="minorEastAsia" w:eastAsiaTheme="minorEastAsia"/>
                <w:bCs/>
                <w:sz w:val="26"/>
                <w:szCs w:val="26"/>
              </w:rPr>
              <w:t>（2）现场管理人员（2人含以上）均为大专（护理学专业）或以上毕业的得2分，未提供不得分。</w:t>
            </w:r>
          </w:p>
          <w:p w14:paraId="6E5FC18A">
            <w:pPr>
              <w:pStyle w:val="45"/>
              <w:jc w:val="both"/>
              <w:rPr>
                <w:rFonts w:asciiTheme="minorEastAsia" w:hAnsiTheme="minorEastAsia" w:eastAsiaTheme="minorEastAsia"/>
                <w:bCs/>
                <w:sz w:val="26"/>
                <w:szCs w:val="26"/>
              </w:rPr>
            </w:pPr>
            <w:r>
              <w:rPr>
                <w:rFonts w:asciiTheme="minorEastAsia" w:hAnsiTheme="minorEastAsia" w:eastAsiaTheme="minorEastAsia"/>
                <w:bCs/>
                <w:sz w:val="26"/>
                <w:szCs w:val="26"/>
              </w:rPr>
              <w:t>（3）现场管理人员（2人含以上）均持有卫生专业技术资格中级护理学证书的得2分，未提供不得分。</w:t>
            </w:r>
          </w:p>
          <w:p w14:paraId="4A4BF372">
            <w:pPr>
              <w:pStyle w:val="45"/>
              <w:jc w:val="both"/>
              <w:rPr>
                <w:rFonts w:asciiTheme="minorEastAsia" w:hAnsiTheme="minorEastAsia" w:eastAsiaTheme="minorEastAsia"/>
                <w:bCs/>
                <w:sz w:val="26"/>
                <w:szCs w:val="26"/>
              </w:rPr>
            </w:pPr>
            <w:r>
              <w:rPr>
                <w:rFonts w:asciiTheme="minorEastAsia" w:hAnsiTheme="minorEastAsia" w:eastAsiaTheme="minorEastAsia"/>
                <w:bCs/>
                <w:sz w:val="26"/>
                <w:szCs w:val="26"/>
              </w:rPr>
              <w:t>注：需提供人员身份证复印件、劳动合同、投标人为其缴纳社保的证明（近六个月任一个月，不含开标当月），以及评分对应的证书、证明，否则不得分。</w:t>
            </w:r>
          </w:p>
        </w:tc>
        <w:tc>
          <w:tcPr>
            <w:tcW w:w="0" w:type="auto"/>
            <w:tcBorders>
              <w:top w:val="single" w:color="auto" w:sz="4" w:space="0"/>
              <w:left w:val="single" w:color="auto" w:sz="4" w:space="0"/>
              <w:bottom w:val="single" w:color="auto" w:sz="4" w:space="0"/>
              <w:right w:val="single" w:color="auto" w:sz="4" w:space="0"/>
            </w:tcBorders>
            <w:vAlign w:val="center"/>
          </w:tcPr>
          <w:p w14:paraId="5EC736B3">
            <w:pPr>
              <w:pStyle w:val="45"/>
              <w:jc w:val="both"/>
              <w:rPr>
                <w:rFonts w:asciiTheme="minorEastAsia" w:hAnsiTheme="minorEastAsia" w:eastAsiaTheme="minorEastAsia"/>
                <w:bCs/>
                <w:sz w:val="26"/>
                <w:szCs w:val="26"/>
              </w:rPr>
            </w:pPr>
            <w:r>
              <w:rPr>
                <w:rFonts w:asciiTheme="minorEastAsia" w:hAnsiTheme="minorEastAsia" w:eastAsiaTheme="minorEastAsia"/>
                <w:bCs/>
                <w:sz w:val="26"/>
                <w:szCs w:val="26"/>
              </w:rPr>
              <w:t>5</w:t>
            </w:r>
          </w:p>
        </w:tc>
      </w:tr>
      <w:tr w14:paraId="3DA78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3" w:hRule="atLeast"/>
        </w:trPr>
        <w:tc>
          <w:tcPr>
            <w:tcW w:w="0" w:type="auto"/>
            <w:tcBorders>
              <w:top w:val="single" w:color="auto" w:sz="4" w:space="0"/>
              <w:left w:val="single" w:color="auto" w:sz="4" w:space="0"/>
              <w:bottom w:val="single" w:color="auto" w:sz="4" w:space="0"/>
              <w:right w:val="single" w:color="auto" w:sz="4" w:space="0"/>
            </w:tcBorders>
            <w:vAlign w:val="center"/>
          </w:tcPr>
          <w:p w14:paraId="52B4FEED">
            <w:pPr>
              <w:pStyle w:val="45"/>
              <w:jc w:val="both"/>
              <w:rPr>
                <w:rFonts w:asciiTheme="minorEastAsia" w:hAnsiTheme="minorEastAsia" w:eastAsiaTheme="minorEastAsia"/>
                <w:bCs/>
                <w:sz w:val="26"/>
                <w:szCs w:val="26"/>
              </w:rPr>
            </w:pPr>
            <w:r>
              <w:rPr>
                <w:rFonts w:asciiTheme="minorEastAsia" w:hAnsiTheme="minorEastAsia" w:eastAsiaTheme="minorEastAsia"/>
                <w:bCs/>
                <w:sz w:val="26"/>
                <w:szCs w:val="26"/>
              </w:rPr>
              <w:t>T12、投标人完全满足招标文件 “技术和服务要求”的得30分，每有1项不满足扣2分，扣完为止投标人需作出明确的响应承诺，否则不得分。</w:t>
            </w:r>
          </w:p>
        </w:tc>
        <w:tc>
          <w:tcPr>
            <w:tcW w:w="0" w:type="auto"/>
            <w:tcBorders>
              <w:top w:val="single" w:color="auto" w:sz="4" w:space="0"/>
              <w:left w:val="single" w:color="auto" w:sz="4" w:space="0"/>
              <w:bottom w:val="single" w:color="auto" w:sz="4" w:space="0"/>
              <w:right w:val="single" w:color="auto" w:sz="4" w:space="0"/>
            </w:tcBorders>
            <w:vAlign w:val="center"/>
          </w:tcPr>
          <w:p w14:paraId="04A4B45A">
            <w:pPr>
              <w:pStyle w:val="45"/>
              <w:jc w:val="both"/>
              <w:rPr>
                <w:rFonts w:asciiTheme="minorEastAsia" w:hAnsiTheme="minorEastAsia" w:eastAsiaTheme="minorEastAsia"/>
                <w:bCs/>
                <w:sz w:val="26"/>
                <w:szCs w:val="26"/>
                <w:highlight w:val="yellow"/>
              </w:rPr>
            </w:pPr>
            <w:r>
              <w:rPr>
                <w:rFonts w:asciiTheme="minorEastAsia" w:hAnsiTheme="minorEastAsia" w:eastAsiaTheme="minorEastAsia"/>
                <w:bCs/>
                <w:sz w:val="26"/>
                <w:szCs w:val="26"/>
                <w:highlight w:val="yellow"/>
              </w:rPr>
              <w:t>30</w:t>
            </w:r>
          </w:p>
        </w:tc>
      </w:tr>
      <w:tr w14:paraId="1B252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0" w:type="auto"/>
            <w:tcBorders>
              <w:top w:val="single" w:color="auto" w:sz="4" w:space="0"/>
              <w:left w:val="single" w:color="auto" w:sz="4" w:space="0"/>
              <w:bottom w:val="single" w:color="auto" w:sz="4" w:space="0"/>
              <w:right w:val="single" w:color="auto" w:sz="4" w:space="0"/>
            </w:tcBorders>
            <w:vAlign w:val="center"/>
          </w:tcPr>
          <w:p w14:paraId="25B08297">
            <w:pPr>
              <w:pStyle w:val="45"/>
              <w:jc w:val="both"/>
              <w:rPr>
                <w:rFonts w:asciiTheme="minorEastAsia" w:hAnsiTheme="minorEastAsia" w:eastAsiaTheme="minorEastAsia"/>
                <w:bCs/>
                <w:sz w:val="26"/>
                <w:szCs w:val="26"/>
              </w:rPr>
            </w:pPr>
            <w:r>
              <w:rPr>
                <w:rFonts w:asciiTheme="minorEastAsia" w:hAnsiTheme="minorEastAsia" w:eastAsiaTheme="minorEastAsia"/>
                <w:bCs/>
                <w:sz w:val="26"/>
                <w:szCs w:val="26"/>
              </w:rPr>
              <w:t>商务项（F3×A3）满分为30.00分</w:t>
            </w:r>
          </w:p>
        </w:tc>
        <w:tc>
          <w:tcPr>
            <w:tcW w:w="0" w:type="auto"/>
            <w:tcBorders>
              <w:top w:val="single" w:color="auto" w:sz="4" w:space="0"/>
              <w:left w:val="single" w:color="auto" w:sz="4" w:space="0"/>
              <w:bottom w:val="single" w:color="auto" w:sz="4" w:space="0"/>
              <w:right w:val="single" w:color="auto" w:sz="4" w:space="0"/>
            </w:tcBorders>
            <w:vAlign w:val="center"/>
          </w:tcPr>
          <w:p w14:paraId="7F8E8F87">
            <w:pPr>
              <w:pStyle w:val="45"/>
              <w:jc w:val="both"/>
              <w:rPr>
                <w:rFonts w:cs="宋体" w:asciiTheme="minorEastAsia" w:hAnsiTheme="minorEastAsia" w:eastAsiaTheme="minorEastAsia"/>
                <w:sz w:val="24"/>
                <w:lang w:bidi="ar"/>
              </w:rPr>
            </w:pPr>
          </w:p>
        </w:tc>
      </w:tr>
      <w:tr w14:paraId="1E36F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1" w:hRule="atLeast"/>
        </w:trPr>
        <w:tc>
          <w:tcPr>
            <w:tcW w:w="0" w:type="auto"/>
            <w:tcBorders>
              <w:top w:val="single" w:color="auto" w:sz="4" w:space="0"/>
              <w:left w:val="single" w:color="auto" w:sz="4" w:space="0"/>
              <w:bottom w:val="single" w:color="auto" w:sz="4" w:space="0"/>
              <w:right w:val="single" w:color="auto" w:sz="4" w:space="0"/>
            </w:tcBorders>
            <w:vAlign w:val="center"/>
          </w:tcPr>
          <w:p w14:paraId="4C6DBA0D">
            <w:pPr>
              <w:pStyle w:val="45"/>
              <w:jc w:val="both"/>
              <w:rPr>
                <w:rFonts w:asciiTheme="minorEastAsia" w:hAnsiTheme="minorEastAsia" w:eastAsiaTheme="minorEastAsia"/>
                <w:bCs/>
                <w:sz w:val="26"/>
                <w:szCs w:val="26"/>
              </w:rPr>
            </w:pPr>
            <w:r>
              <w:rPr>
                <w:rFonts w:asciiTheme="minorEastAsia" w:hAnsiTheme="minorEastAsia" w:eastAsiaTheme="minorEastAsia"/>
                <w:bCs/>
                <w:sz w:val="26"/>
                <w:szCs w:val="26"/>
              </w:rPr>
              <w:t>B1、根据投标人的体系认证情况进行评价：</w:t>
            </w:r>
          </w:p>
          <w:p w14:paraId="2887592B">
            <w:pPr>
              <w:pStyle w:val="45"/>
              <w:jc w:val="both"/>
              <w:rPr>
                <w:rFonts w:asciiTheme="minorEastAsia" w:hAnsiTheme="minorEastAsia" w:eastAsiaTheme="minorEastAsia"/>
                <w:bCs/>
                <w:sz w:val="26"/>
                <w:szCs w:val="26"/>
              </w:rPr>
            </w:pPr>
            <w:r>
              <w:rPr>
                <w:rFonts w:asciiTheme="minorEastAsia" w:hAnsiTheme="minorEastAsia" w:eastAsiaTheme="minorEastAsia"/>
                <w:bCs/>
                <w:sz w:val="26"/>
                <w:szCs w:val="26"/>
              </w:rPr>
              <w:t>（1）投标人通过质量管理体系认证的得1分，否则不得分。</w:t>
            </w:r>
          </w:p>
          <w:p w14:paraId="6B74954B">
            <w:pPr>
              <w:pStyle w:val="45"/>
              <w:jc w:val="both"/>
              <w:rPr>
                <w:rFonts w:asciiTheme="minorEastAsia" w:hAnsiTheme="minorEastAsia" w:eastAsiaTheme="minorEastAsia"/>
                <w:bCs/>
                <w:sz w:val="26"/>
                <w:szCs w:val="26"/>
              </w:rPr>
            </w:pPr>
            <w:r>
              <w:rPr>
                <w:rFonts w:asciiTheme="minorEastAsia" w:hAnsiTheme="minorEastAsia" w:eastAsiaTheme="minorEastAsia"/>
                <w:bCs/>
                <w:sz w:val="26"/>
                <w:szCs w:val="26"/>
              </w:rPr>
              <w:t>（2）投标人通过环境管理体系认证的得1分，否则不得分。</w:t>
            </w:r>
          </w:p>
          <w:p w14:paraId="729053CE">
            <w:pPr>
              <w:pStyle w:val="45"/>
              <w:jc w:val="both"/>
              <w:rPr>
                <w:rFonts w:asciiTheme="minorEastAsia" w:hAnsiTheme="minorEastAsia" w:eastAsiaTheme="minorEastAsia"/>
                <w:bCs/>
                <w:sz w:val="26"/>
                <w:szCs w:val="26"/>
              </w:rPr>
            </w:pPr>
            <w:r>
              <w:rPr>
                <w:rFonts w:asciiTheme="minorEastAsia" w:hAnsiTheme="minorEastAsia" w:eastAsiaTheme="minorEastAsia"/>
                <w:bCs/>
                <w:sz w:val="26"/>
                <w:szCs w:val="26"/>
              </w:rPr>
              <w:t>（3）投标人通过职业健康安全管理体系认证的得1分，否则不得分。</w:t>
            </w:r>
          </w:p>
          <w:p w14:paraId="25EC05E4">
            <w:pPr>
              <w:pStyle w:val="45"/>
              <w:jc w:val="both"/>
              <w:rPr>
                <w:rFonts w:asciiTheme="minorEastAsia" w:hAnsiTheme="minorEastAsia" w:eastAsiaTheme="minorEastAsia"/>
                <w:bCs/>
                <w:sz w:val="26"/>
                <w:szCs w:val="26"/>
              </w:rPr>
            </w:pPr>
            <w:r>
              <w:rPr>
                <w:rFonts w:asciiTheme="minorEastAsia" w:hAnsiTheme="minorEastAsia" w:eastAsiaTheme="minorEastAsia"/>
                <w:bCs/>
                <w:sz w:val="26"/>
                <w:szCs w:val="26"/>
              </w:rPr>
              <w:t>（4）投标人通过企业诚信管理体系认证的得1分，否则不得分。</w:t>
            </w:r>
          </w:p>
          <w:p w14:paraId="6AAABFA3">
            <w:pPr>
              <w:pStyle w:val="45"/>
              <w:jc w:val="both"/>
              <w:rPr>
                <w:rFonts w:asciiTheme="minorEastAsia" w:hAnsiTheme="minorEastAsia" w:eastAsiaTheme="minorEastAsia"/>
                <w:bCs/>
                <w:sz w:val="26"/>
                <w:szCs w:val="26"/>
              </w:rPr>
            </w:pPr>
            <w:r>
              <w:rPr>
                <w:rFonts w:asciiTheme="minorEastAsia" w:hAnsiTheme="minorEastAsia" w:eastAsiaTheme="minorEastAsia"/>
                <w:bCs/>
                <w:sz w:val="26"/>
                <w:szCs w:val="26"/>
              </w:rPr>
              <w:t>（5）投标人通过信息安全管理体系认证的得1分，否则不得分。</w:t>
            </w:r>
          </w:p>
          <w:p w14:paraId="3386B8D1">
            <w:pPr>
              <w:pStyle w:val="45"/>
              <w:jc w:val="both"/>
              <w:rPr>
                <w:rFonts w:asciiTheme="minorEastAsia" w:hAnsiTheme="minorEastAsia" w:eastAsiaTheme="minorEastAsia"/>
                <w:bCs/>
                <w:sz w:val="26"/>
                <w:szCs w:val="26"/>
              </w:rPr>
            </w:pPr>
            <w:r>
              <w:rPr>
                <w:rFonts w:asciiTheme="minorEastAsia" w:hAnsiTheme="minorEastAsia" w:eastAsiaTheme="minorEastAsia"/>
                <w:bCs/>
                <w:sz w:val="26"/>
                <w:szCs w:val="26"/>
              </w:rPr>
              <w:t>（6）投标人通过社会责任管理体系认证的得1分，否则不得分。</w:t>
            </w:r>
          </w:p>
          <w:p w14:paraId="6002B325">
            <w:pPr>
              <w:pStyle w:val="45"/>
              <w:jc w:val="both"/>
              <w:rPr>
                <w:rFonts w:asciiTheme="minorEastAsia" w:hAnsiTheme="minorEastAsia" w:eastAsiaTheme="minorEastAsia"/>
                <w:bCs/>
                <w:sz w:val="26"/>
                <w:szCs w:val="26"/>
              </w:rPr>
            </w:pPr>
            <w:r>
              <w:rPr>
                <w:rFonts w:asciiTheme="minorEastAsia" w:hAnsiTheme="minorEastAsia" w:eastAsiaTheme="minorEastAsia"/>
                <w:bCs/>
                <w:sz w:val="26"/>
                <w:szCs w:val="26"/>
              </w:rPr>
              <w:t>注：以上需同时提供认证证书扫描件和全国认证认可信息公共服务平台（网址：http://cx.cnca.cn）的网页查询截图（截图内容至少包含但不限于证书编号、证书状态、证书到期日期、组织名称、发证机构名称）并体现网址，否则不得分。</w:t>
            </w:r>
          </w:p>
        </w:tc>
        <w:tc>
          <w:tcPr>
            <w:tcW w:w="0" w:type="auto"/>
            <w:tcBorders>
              <w:top w:val="single" w:color="auto" w:sz="4" w:space="0"/>
              <w:left w:val="single" w:color="auto" w:sz="4" w:space="0"/>
              <w:bottom w:val="single" w:color="auto" w:sz="4" w:space="0"/>
              <w:right w:val="single" w:color="auto" w:sz="4" w:space="0"/>
            </w:tcBorders>
            <w:vAlign w:val="center"/>
          </w:tcPr>
          <w:p w14:paraId="629F8ED2">
            <w:pPr>
              <w:pStyle w:val="45"/>
              <w:jc w:val="both"/>
              <w:rPr>
                <w:rFonts w:asciiTheme="minorEastAsia" w:hAnsiTheme="minorEastAsia" w:eastAsiaTheme="minorEastAsia"/>
                <w:bCs/>
                <w:sz w:val="26"/>
                <w:szCs w:val="26"/>
              </w:rPr>
            </w:pPr>
            <w:r>
              <w:rPr>
                <w:rFonts w:asciiTheme="minorEastAsia" w:hAnsiTheme="minorEastAsia" w:eastAsiaTheme="minorEastAsia"/>
                <w:bCs/>
                <w:sz w:val="26"/>
                <w:szCs w:val="26"/>
              </w:rPr>
              <w:t>6</w:t>
            </w:r>
          </w:p>
        </w:tc>
      </w:tr>
      <w:tr w14:paraId="460FF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1" w:hRule="atLeast"/>
        </w:trPr>
        <w:tc>
          <w:tcPr>
            <w:tcW w:w="0" w:type="auto"/>
            <w:tcBorders>
              <w:top w:val="single" w:color="auto" w:sz="4" w:space="0"/>
              <w:left w:val="single" w:color="auto" w:sz="4" w:space="0"/>
              <w:bottom w:val="single" w:color="auto" w:sz="4" w:space="0"/>
              <w:right w:val="single" w:color="auto" w:sz="4" w:space="0"/>
            </w:tcBorders>
            <w:vAlign w:val="center"/>
          </w:tcPr>
          <w:p w14:paraId="67ED35D1">
            <w:pPr>
              <w:pStyle w:val="45"/>
              <w:jc w:val="both"/>
              <w:rPr>
                <w:rFonts w:asciiTheme="minorEastAsia" w:hAnsiTheme="minorEastAsia" w:eastAsiaTheme="minorEastAsia"/>
                <w:bCs/>
                <w:sz w:val="26"/>
                <w:szCs w:val="26"/>
              </w:rPr>
            </w:pPr>
            <w:r>
              <w:rPr>
                <w:rFonts w:asciiTheme="minorEastAsia" w:hAnsiTheme="minorEastAsia" w:eastAsiaTheme="minorEastAsia"/>
                <w:bCs/>
                <w:sz w:val="26"/>
                <w:szCs w:val="26"/>
              </w:rPr>
              <w:t>B2、投标人为本项目投入护理或护工管理系统的得3分，需提供系统的软件著作权登记证书，未提供不得分。</w:t>
            </w:r>
          </w:p>
          <w:p w14:paraId="6F8491C0">
            <w:pPr>
              <w:pStyle w:val="45"/>
              <w:jc w:val="both"/>
              <w:rPr>
                <w:rFonts w:asciiTheme="minorEastAsia" w:hAnsiTheme="minorEastAsia" w:eastAsiaTheme="minorEastAsia"/>
                <w:bCs/>
                <w:sz w:val="26"/>
                <w:szCs w:val="26"/>
              </w:rPr>
            </w:pPr>
            <w:r>
              <w:rPr>
                <w:rFonts w:asciiTheme="minorEastAsia" w:hAnsiTheme="minorEastAsia" w:eastAsiaTheme="minorEastAsia"/>
                <w:bCs/>
                <w:sz w:val="26"/>
                <w:szCs w:val="26"/>
              </w:rPr>
              <w:t>为保障信息安全，投标人通过三级信息系统安全等级保护备案的得3分，提供相关证明材料，未提供不得分</w:t>
            </w:r>
          </w:p>
        </w:tc>
        <w:tc>
          <w:tcPr>
            <w:tcW w:w="0" w:type="auto"/>
            <w:tcBorders>
              <w:top w:val="single" w:color="auto" w:sz="4" w:space="0"/>
              <w:left w:val="single" w:color="auto" w:sz="4" w:space="0"/>
              <w:bottom w:val="single" w:color="auto" w:sz="4" w:space="0"/>
              <w:right w:val="single" w:color="auto" w:sz="4" w:space="0"/>
            </w:tcBorders>
            <w:vAlign w:val="center"/>
          </w:tcPr>
          <w:p w14:paraId="4BD85A60">
            <w:pPr>
              <w:pStyle w:val="45"/>
              <w:jc w:val="both"/>
              <w:rPr>
                <w:rFonts w:asciiTheme="minorEastAsia" w:hAnsiTheme="minorEastAsia" w:eastAsiaTheme="minorEastAsia"/>
                <w:bCs/>
                <w:sz w:val="26"/>
                <w:szCs w:val="26"/>
              </w:rPr>
            </w:pPr>
            <w:r>
              <w:rPr>
                <w:rFonts w:asciiTheme="minorEastAsia" w:hAnsiTheme="minorEastAsia" w:eastAsiaTheme="minorEastAsia"/>
                <w:bCs/>
                <w:sz w:val="26"/>
                <w:szCs w:val="26"/>
              </w:rPr>
              <w:t>6</w:t>
            </w:r>
          </w:p>
        </w:tc>
      </w:tr>
      <w:tr w14:paraId="30A4B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1" w:hRule="atLeast"/>
        </w:trPr>
        <w:tc>
          <w:tcPr>
            <w:tcW w:w="0" w:type="auto"/>
            <w:tcBorders>
              <w:top w:val="single" w:color="auto" w:sz="4" w:space="0"/>
              <w:left w:val="single" w:color="auto" w:sz="4" w:space="0"/>
              <w:bottom w:val="single" w:color="auto" w:sz="4" w:space="0"/>
              <w:right w:val="single" w:color="auto" w:sz="4" w:space="0"/>
            </w:tcBorders>
            <w:vAlign w:val="center"/>
          </w:tcPr>
          <w:p w14:paraId="3DC7FD83">
            <w:pPr>
              <w:pStyle w:val="45"/>
              <w:jc w:val="both"/>
              <w:rPr>
                <w:rFonts w:asciiTheme="minorEastAsia" w:hAnsiTheme="minorEastAsia" w:eastAsiaTheme="minorEastAsia"/>
                <w:bCs/>
                <w:sz w:val="26"/>
                <w:szCs w:val="26"/>
              </w:rPr>
            </w:pPr>
            <w:r>
              <w:rPr>
                <w:rFonts w:asciiTheme="minorEastAsia" w:hAnsiTheme="minorEastAsia" w:eastAsiaTheme="minorEastAsia"/>
                <w:bCs/>
                <w:sz w:val="26"/>
                <w:szCs w:val="26"/>
              </w:rPr>
              <w:t>B3、投标人承诺在本项目使用管理系统软件并提供相关技术与医院对接得2分，需提供承诺函，否则不得分。</w:t>
            </w:r>
          </w:p>
        </w:tc>
        <w:tc>
          <w:tcPr>
            <w:tcW w:w="0" w:type="auto"/>
            <w:tcBorders>
              <w:top w:val="single" w:color="auto" w:sz="4" w:space="0"/>
              <w:left w:val="single" w:color="auto" w:sz="4" w:space="0"/>
              <w:bottom w:val="single" w:color="auto" w:sz="4" w:space="0"/>
              <w:right w:val="single" w:color="auto" w:sz="4" w:space="0"/>
            </w:tcBorders>
            <w:vAlign w:val="center"/>
          </w:tcPr>
          <w:p w14:paraId="3C5554D8">
            <w:pPr>
              <w:pStyle w:val="45"/>
              <w:jc w:val="both"/>
              <w:rPr>
                <w:rFonts w:asciiTheme="minorEastAsia" w:hAnsiTheme="minorEastAsia" w:eastAsiaTheme="minorEastAsia"/>
                <w:bCs/>
                <w:sz w:val="26"/>
                <w:szCs w:val="26"/>
              </w:rPr>
            </w:pPr>
            <w:r>
              <w:rPr>
                <w:rFonts w:asciiTheme="minorEastAsia" w:hAnsiTheme="minorEastAsia" w:eastAsiaTheme="minorEastAsia"/>
                <w:bCs/>
                <w:sz w:val="26"/>
                <w:szCs w:val="26"/>
              </w:rPr>
              <w:t>2</w:t>
            </w:r>
          </w:p>
        </w:tc>
      </w:tr>
      <w:tr w14:paraId="4EF73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1" w:hRule="atLeast"/>
        </w:trPr>
        <w:tc>
          <w:tcPr>
            <w:tcW w:w="0" w:type="auto"/>
            <w:tcBorders>
              <w:top w:val="single" w:color="auto" w:sz="4" w:space="0"/>
              <w:left w:val="single" w:color="auto" w:sz="4" w:space="0"/>
              <w:bottom w:val="single" w:color="auto" w:sz="4" w:space="0"/>
              <w:right w:val="single" w:color="auto" w:sz="4" w:space="0"/>
            </w:tcBorders>
            <w:vAlign w:val="center"/>
          </w:tcPr>
          <w:p w14:paraId="7B918A9D">
            <w:pPr>
              <w:pStyle w:val="45"/>
              <w:jc w:val="both"/>
              <w:rPr>
                <w:rFonts w:asciiTheme="minorEastAsia" w:hAnsiTheme="minorEastAsia" w:eastAsiaTheme="minorEastAsia"/>
                <w:bCs/>
                <w:sz w:val="26"/>
                <w:szCs w:val="26"/>
              </w:rPr>
            </w:pPr>
            <w:r>
              <w:rPr>
                <w:rFonts w:asciiTheme="minorEastAsia" w:hAnsiTheme="minorEastAsia" w:eastAsiaTheme="minorEastAsia"/>
                <w:bCs/>
                <w:sz w:val="26"/>
                <w:szCs w:val="26"/>
              </w:rPr>
              <w:t>B4、投标人为护理人员购买团体意外险的得2分，需提供保单复印件及加盖公章，否则不得分。</w:t>
            </w:r>
          </w:p>
        </w:tc>
        <w:tc>
          <w:tcPr>
            <w:tcW w:w="0" w:type="auto"/>
            <w:tcBorders>
              <w:top w:val="single" w:color="auto" w:sz="4" w:space="0"/>
              <w:left w:val="single" w:color="auto" w:sz="4" w:space="0"/>
              <w:bottom w:val="single" w:color="auto" w:sz="4" w:space="0"/>
              <w:right w:val="single" w:color="auto" w:sz="4" w:space="0"/>
            </w:tcBorders>
            <w:vAlign w:val="center"/>
          </w:tcPr>
          <w:p w14:paraId="197F9802">
            <w:pPr>
              <w:pStyle w:val="45"/>
              <w:jc w:val="both"/>
              <w:rPr>
                <w:rFonts w:asciiTheme="minorEastAsia" w:hAnsiTheme="minorEastAsia" w:eastAsiaTheme="minorEastAsia"/>
                <w:bCs/>
                <w:sz w:val="26"/>
                <w:szCs w:val="26"/>
              </w:rPr>
            </w:pPr>
            <w:r>
              <w:rPr>
                <w:rFonts w:asciiTheme="minorEastAsia" w:hAnsiTheme="minorEastAsia" w:eastAsiaTheme="minorEastAsia"/>
                <w:bCs/>
                <w:sz w:val="26"/>
                <w:szCs w:val="26"/>
              </w:rPr>
              <w:t>2</w:t>
            </w:r>
          </w:p>
        </w:tc>
      </w:tr>
      <w:tr w14:paraId="01456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1" w:hRule="atLeast"/>
        </w:trPr>
        <w:tc>
          <w:tcPr>
            <w:tcW w:w="0" w:type="auto"/>
            <w:tcBorders>
              <w:top w:val="single" w:color="auto" w:sz="4" w:space="0"/>
              <w:left w:val="single" w:color="auto" w:sz="4" w:space="0"/>
              <w:bottom w:val="single" w:color="auto" w:sz="4" w:space="0"/>
              <w:right w:val="single" w:color="auto" w:sz="4" w:space="0"/>
            </w:tcBorders>
            <w:vAlign w:val="center"/>
          </w:tcPr>
          <w:p w14:paraId="7700FFA6">
            <w:pPr>
              <w:pStyle w:val="45"/>
              <w:jc w:val="both"/>
              <w:rPr>
                <w:rFonts w:asciiTheme="minorEastAsia" w:hAnsiTheme="minorEastAsia" w:eastAsiaTheme="minorEastAsia"/>
                <w:bCs/>
                <w:sz w:val="26"/>
                <w:szCs w:val="26"/>
              </w:rPr>
            </w:pPr>
            <w:r>
              <w:rPr>
                <w:rFonts w:asciiTheme="minorEastAsia" w:hAnsiTheme="minorEastAsia" w:eastAsiaTheme="minorEastAsia"/>
                <w:bCs/>
                <w:sz w:val="26"/>
                <w:szCs w:val="26"/>
              </w:rPr>
              <w:t>B5、投标人购买第三者责任保险（每次事故赔偿不低于500万元）的得2分，需提供保单复印件及加盖公章，否则不得分。</w:t>
            </w:r>
          </w:p>
        </w:tc>
        <w:tc>
          <w:tcPr>
            <w:tcW w:w="0" w:type="auto"/>
            <w:tcBorders>
              <w:top w:val="single" w:color="auto" w:sz="4" w:space="0"/>
              <w:left w:val="single" w:color="auto" w:sz="4" w:space="0"/>
              <w:bottom w:val="single" w:color="auto" w:sz="4" w:space="0"/>
              <w:right w:val="single" w:color="auto" w:sz="4" w:space="0"/>
            </w:tcBorders>
            <w:vAlign w:val="center"/>
          </w:tcPr>
          <w:p w14:paraId="7C5C7019">
            <w:pPr>
              <w:pStyle w:val="45"/>
              <w:jc w:val="both"/>
              <w:rPr>
                <w:rFonts w:asciiTheme="minorEastAsia" w:hAnsiTheme="minorEastAsia" w:eastAsiaTheme="minorEastAsia"/>
                <w:bCs/>
                <w:sz w:val="26"/>
                <w:szCs w:val="26"/>
              </w:rPr>
            </w:pPr>
            <w:r>
              <w:rPr>
                <w:rFonts w:asciiTheme="minorEastAsia" w:hAnsiTheme="minorEastAsia" w:eastAsiaTheme="minorEastAsia"/>
                <w:bCs/>
                <w:sz w:val="26"/>
                <w:szCs w:val="26"/>
              </w:rPr>
              <w:t>2</w:t>
            </w:r>
          </w:p>
        </w:tc>
      </w:tr>
      <w:tr w14:paraId="598C4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1" w:hRule="atLeast"/>
        </w:trPr>
        <w:tc>
          <w:tcPr>
            <w:tcW w:w="0" w:type="auto"/>
            <w:tcBorders>
              <w:top w:val="single" w:color="auto" w:sz="4" w:space="0"/>
              <w:left w:val="single" w:color="auto" w:sz="4" w:space="0"/>
              <w:bottom w:val="single" w:color="auto" w:sz="4" w:space="0"/>
              <w:right w:val="single" w:color="auto" w:sz="4" w:space="0"/>
            </w:tcBorders>
            <w:vAlign w:val="center"/>
          </w:tcPr>
          <w:p w14:paraId="5BB72F70">
            <w:pPr>
              <w:pStyle w:val="45"/>
              <w:jc w:val="both"/>
              <w:rPr>
                <w:rFonts w:asciiTheme="minorEastAsia" w:hAnsiTheme="minorEastAsia" w:eastAsiaTheme="minorEastAsia"/>
                <w:bCs/>
                <w:sz w:val="26"/>
                <w:szCs w:val="26"/>
              </w:rPr>
            </w:pPr>
            <w:r>
              <w:rPr>
                <w:rFonts w:asciiTheme="minorEastAsia" w:hAnsiTheme="minorEastAsia" w:eastAsiaTheme="minorEastAsia"/>
                <w:bCs/>
                <w:sz w:val="26"/>
                <w:szCs w:val="26"/>
              </w:rPr>
              <w:t>B6、服务质量：根据投标人提供2021年1月1日起至投标截至时间止，所在服务的三甲医院获得的服务满意证明材料进行评价：具有6个（含）以上医院出具的服务满意证明材料，每提供一个得0.5分，满分3分，否则不得分。</w:t>
            </w:r>
          </w:p>
          <w:p w14:paraId="2EBB69B8">
            <w:pPr>
              <w:pStyle w:val="45"/>
              <w:jc w:val="both"/>
              <w:rPr>
                <w:rFonts w:asciiTheme="minorEastAsia" w:hAnsiTheme="minorEastAsia" w:eastAsiaTheme="minorEastAsia"/>
                <w:bCs/>
                <w:sz w:val="26"/>
                <w:szCs w:val="26"/>
              </w:rPr>
            </w:pPr>
            <w:r>
              <w:rPr>
                <w:rFonts w:asciiTheme="minorEastAsia" w:hAnsiTheme="minorEastAsia" w:eastAsiaTheme="minorEastAsia"/>
                <w:bCs/>
                <w:sz w:val="26"/>
                <w:szCs w:val="26"/>
              </w:rPr>
              <w:t>注：服务满意证明材料包括：出具业主单位（或主管部门）盖章的服务满意证明文件（满意度在90分（含）以上）及双方签订的合同复印件。</w:t>
            </w:r>
          </w:p>
        </w:tc>
        <w:tc>
          <w:tcPr>
            <w:tcW w:w="0" w:type="auto"/>
            <w:tcBorders>
              <w:top w:val="single" w:color="auto" w:sz="4" w:space="0"/>
              <w:left w:val="single" w:color="auto" w:sz="4" w:space="0"/>
              <w:bottom w:val="single" w:color="auto" w:sz="4" w:space="0"/>
              <w:right w:val="single" w:color="auto" w:sz="4" w:space="0"/>
            </w:tcBorders>
            <w:vAlign w:val="center"/>
          </w:tcPr>
          <w:p w14:paraId="66D37715">
            <w:pPr>
              <w:pStyle w:val="45"/>
              <w:jc w:val="both"/>
              <w:rPr>
                <w:rFonts w:asciiTheme="minorEastAsia" w:hAnsiTheme="minorEastAsia" w:eastAsiaTheme="minorEastAsia"/>
                <w:bCs/>
                <w:sz w:val="26"/>
                <w:szCs w:val="26"/>
              </w:rPr>
            </w:pPr>
            <w:r>
              <w:rPr>
                <w:rFonts w:asciiTheme="minorEastAsia" w:hAnsiTheme="minorEastAsia" w:eastAsiaTheme="minorEastAsia"/>
                <w:bCs/>
                <w:sz w:val="26"/>
                <w:szCs w:val="26"/>
              </w:rPr>
              <w:t>3</w:t>
            </w:r>
          </w:p>
        </w:tc>
      </w:tr>
      <w:tr w14:paraId="4DD58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0" w:type="auto"/>
            <w:tcBorders>
              <w:top w:val="single" w:color="auto" w:sz="4" w:space="0"/>
              <w:left w:val="single" w:color="auto" w:sz="4" w:space="0"/>
              <w:bottom w:val="single" w:color="auto" w:sz="4" w:space="0"/>
              <w:right w:val="single" w:color="auto" w:sz="4" w:space="0"/>
            </w:tcBorders>
            <w:vAlign w:val="center"/>
          </w:tcPr>
          <w:p w14:paraId="12691A2C">
            <w:pPr>
              <w:pStyle w:val="45"/>
              <w:jc w:val="both"/>
              <w:rPr>
                <w:rFonts w:asciiTheme="minorEastAsia" w:hAnsiTheme="minorEastAsia" w:eastAsiaTheme="minorEastAsia"/>
                <w:bCs/>
                <w:sz w:val="26"/>
                <w:szCs w:val="26"/>
              </w:rPr>
            </w:pPr>
            <w:r>
              <w:rPr>
                <w:rFonts w:asciiTheme="minorEastAsia" w:hAnsiTheme="minorEastAsia" w:eastAsiaTheme="minorEastAsia"/>
                <w:bCs/>
                <w:sz w:val="26"/>
                <w:szCs w:val="26"/>
              </w:rPr>
              <w:t>B7、根据投标人2021年1月1日至今（以合同签订时间为准）类似医疗机构病患陪护服务的经营业绩的有效证明文件进行评价，有效证明文件包括该业绩的：</w:t>
            </w:r>
          </w:p>
          <w:p w14:paraId="651DBB96">
            <w:pPr>
              <w:pStyle w:val="45"/>
              <w:jc w:val="both"/>
              <w:rPr>
                <w:rFonts w:asciiTheme="minorEastAsia" w:hAnsiTheme="minorEastAsia" w:eastAsiaTheme="minorEastAsia"/>
                <w:bCs/>
                <w:sz w:val="26"/>
                <w:szCs w:val="26"/>
              </w:rPr>
            </w:pPr>
            <w:r>
              <w:rPr>
                <w:rFonts w:asciiTheme="minorEastAsia" w:hAnsiTheme="minorEastAsia" w:eastAsiaTheme="minorEastAsia"/>
                <w:bCs/>
                <w:sz w:val="26"/>
                <w:szCs w:val="26"/>
              </w:rPr>
              <w:t>①中标（成交）公告（提供相关网站中标（成交）公告的下载网页及其网址）；</w:t>
            </w:r>
          </w:p>
          <w:p w14:paraId="40B24CC6">
            <w:pPr>
              <w:pStyle w:val="45"/>
              <w:jc w:val="both"/>
              <w:rPr>
                <w:rFonts w:asciiTheme="minorEastAsia" w:hAnsiTheme="minorEastAsia" w:eastAsiaTheme="minorEastAsia"/>
                <w:bCs/>
                <w:sz w:val="26"/>
                <w:szCs w:val="26"/>
              </w:rPr>
            </w:pPr>
            <w:r>
              <w:rPr>
                <w:rFonts w:asciiTheme="minorEastAsia" w:hAnsiTheme="minorEastAsia" w:eastAsiaTheme="minorEastAsia"/>
                <w:bCs/>
                <w:sz w:val="26"/>
                <w:szCs w:val="26"/>
              </w:rPr>
              <w:t>②中标（成交）通知书复印件；</w:t>
            </w:r>
          </w:p>
          <w:p w14:paraId="13381542">
            <w:pPr>
              <w:pStyle w:val="45"/>
              <w:jc w:val="both"/>
              <w:rPr>
                <w:rFonts w:asciiTheme="minorEastAsia" w:hAnsiTheme="minorEastAsia" w:eastAsiaTheme="minorEastAsia"/>
                <w:bCs/>
                <w:sz w:val="26"/>
                <w:szCs w:val="26"/>
              </w:rPr>
            </w:pPr>
            <w:r>
              <w:rPr>
                <w:rFonts w:asciiTheme="minorEastAsia" w:hAnsiTheme="minorEastAsia" w:eastAsiaTheme="minorEastAsia"/>
                <w:bCs/>
                <w:sz w:val="26"/>
                <w:szCs w:val="26"/>
              </w:rPr>
              <w:t>③采购合同文本复印件（必须体现有护理、护工、陪护、生活照料、医疗生活护理等关键字之一）；</w:t>
            </w:r>
          </w:p>
          <w:p w14:paraId="3B7B585B">
            <w:pPr>
              <w:pStyle w:val="45"/>
              <w:jc w:val="both"/>
              <w:rPr>
                <w:rFonts w:asciiTheme="minorEastAsia" w:hAnsiTheme="minorEastAsia" w:eastAsiaTheme="minorEastAsia"/>
                <w:bCs/>
                <w:sz w:val="26"/>
                <w:szCs w:val="26"/>
              </w:rPr>
            </w:pPr>
            <w:r>
              <w:rPr>
                <w:rFonts w:asciiTheme="minorEastAsia" w:hAnsiTheme="minorEastAsia" w:eastAsiaTheme="minorEastAsia"/>
                <w:bCs/>
                <w:sz w:val="26"/>
                <w:szCs w:val="26"/>
              </w:rPr>
              <w:t>上述证明三项齐全。每个有效业绩得1分，满分3分。未按要求提供完整证明资料的业绩将不予计分。</w:t>
            </w:r>
          </w:p>
        </w:tc>
        <w:tc>
          <w:tcPr>
            <w:tcW w:w="0" w:type="auto"/>
            <w:tcBorders>
              <w:top w:val="single" w:color="auto" w:sz="4" w:space="0"/>
              <w:left w:val="single" w:color="auto" w:sz="4" w:space="0"/>
              <w:bottom w:val="single" w:color="auto" w:sz="4" w:space="0"/>
              <w:right w:val="single" w:color="auto" w:sz="4" w:space="0"/>
            </w:tcBorders>
            <w:vAlign w:val="center"/>
          </w:tcPr>
          <w:p w14:paraId="05F973A1">
            <w:pPr>
              <w:pStyle w:val="45"/>
              <w:jc w:val="both"/>
              <w:rPr>
                <w:rFonts w:asciiTheme="minorEastAsia" w:hAnsiTheme="minorEastAsia" w:eastAsiaTheme="minorEastAsia"/>
                <w:bCs/>
                <w:sz w:val="26"/>
                <w:szCs w:val="26"/>
              </w:rPr>
            </w:pPr>
            <w:r>
              <w:rPr>
                <w:rFonts w:asciiTheme="minorEastAsia" w:hAnsiTheme="minorEastAsia" w:eastAsiaTheme="minorEastAsia"/>
                <w:bCs/>
                <w:sz w:val="26"/>
                <w:szCs w:val="26"/>
              </w:rPr>
              <w:t>3</w:t>
            </w:r>
          </w:p>
        </w:tc>
      </w:tr>
      <w:tr w14:paraId="03DAA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0" w:type="auto"/>
            <w:tcBorders>
              <w:top w:val="single" w:color="auto" w:sz="4" w:space="0"/>
              <w:left w:val="single" w:color="auto" w:sz="4" w:space="0"/>
              <w:bottom w:val="single" w:color="auto" w:sz="4" w:space="0"/>
              <w:right w:val="single" w:color="auto" w:sz="4" w:space="0"/>
            </w:tcBorders>
            <w:vAlign w:val="center"/>
          </w:tcPr>
          <w:p w14:paraId="3A0C6E7F">
            <w:pPr>
              <w:pStyle w:val="45"/>
              <w:jc w:val="both"/>
              <w:rPr>
                <w:rFonts w:asciiTheme="minorEastAsia" w:hAnsiTheme="minorEastAsia" w:eastAsiaTheme="minorEastAsia"/>
                <w:bCs/>
                <w:sz w:val="26"/>
                <w:szCs w:val="26"/>
              </w:rPr>
            </w:pPr>
            <w:r>
              <w:rPr>
                <w:rFonts w:asciiTheme="minorEastAsia" w:hAnsiTheme="minorEastAsia" w:eastAsiaTheme="minorEastAsia"/>
                <w:bCs/>
                <w:sz w:val="26"/>
                <w:szCs w:val="26"/>
              </w:rPr>
              <w:t>B8、投标人近两年参加国家级医疗护理员大赛并取得荣誉的得3分，需提供荣誉证书，未提供不得分。</w:t>
            </w:r>
          </w:p>
        </w:tc>
        <w:tc>
          <w:tcPr>
            <w:tcW w:w="0" w:type="auto"/>
            <w:tcBorders>
              <w:top w:val="single" w:color="auto" w:sz="4" w:space="0"/>
              <w:left w:val="single" w:color="auto" w:sz="4" w:space="0"/>
              <w:bottom w:val="single" w:color="auto" w:sz="4" w:space="0"/>
              <w:right w:val="single" w:color="auto" w:sz="4" w:space="0"/>
            </w:tcBorders>
            <w:vAlign w:val="center"/>
          </w:tcPr>
          <w:p w14:paraId="09F7D608">
            <w:pPr>
              <w:pStyle w:val="45"/>
              <w:jc w:val="both"/>
              <w:rPr>
                <w:rFonts w:asciiTheme="minorEastAsia" w:hAnsiTheme="minorEastAsia" w:eastAsiaTheme="minorEastAsia"/>
                <w:sz w:val="24"/>
              </w:rPr>
            </w:pPr>
            <w:r>
              <w:rPr>
                <w:rFonts w:asciiTheme="minorEastAsia" w:hAnsiTheme="minorEastAsia" w:eastAsiaTheme="minorEastAsia"/>
                <w:spacing w:val="-12"/>
                <w:sz w:val="24"/>
              </w:rPr>
              <w:t>3</w:t>
            </w:r>
          </w:p>
        </w:tc>
      </w:tr>
      <w:tr w14:paraId="7F350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2" w:hRule="atLeast"/>
        </w:trPr>
        <w:tc>
          <w:tcPr>
            <w:tcW w:w="0" w:type="auto"/>
            <w:tcBorders>
              <w:top w:val="single" w:color="auto" w:sz="4" w:space="0"/>
              <w:left w:val="single" w:color="auto" w:sz="4" w:space="0"/>
              <w:bottom w:val="single" w:color="auto" w:sz="4" w:space="0"/>
              <w:right w:val="single" w:color="auto" w:sz="4" w:space="0"/>
            </w:tcBorders>
            <w:vAlign w:val="center"/>
          </w:tcPr>
          <w:p w14:paraId="78E88ECC">
            <w:pPr>
              <w:pStyle w:val="45"/>
              <w:jc w:val="both"/>
              <w:rPr>
                <w:rFonts w:asciiTheme="minorEastAsia" w:hAnsiTheme="minorEastAsia" w:eastAsiaTheme="minorEastAsia"/>
                <w:bCs/>
                <w:sz w:val="26"/>
                <w:szCs w:val="26"/>
              </w:rPr>
            </w:pPr>
            <w:r>
              <w:rPr>
                <w:rFonts w:asciiTheme="minorEastAsia" w:hAnsiTheme="minorEastAsia" w:eastAsiaTheme="minorEastAsia"/>
                <w:bCs/>
                <w:sz w:val="26"/>
                <w:szCs w:val="26"/>
              </w:rPr>
              <w:t>B9、投标人参与护理员基本知识与技能相关丛书编制得3分，丛书为发行类刊物，有期刊书号。须提供相关证明材料并加盖公章，不提供或不符合要求不得分。</w:t>
            </w:r>
          </w:p>
        </w:tc>
        <w:tc>
          <w:tcPr>
            <w:tcW w:w="0" w:type="auto"/>
            <w:tcBorders>
              <w:top w:val="single" w:color="auto" w:sz="4" w:space="0"/>
              <w:left w:val="single" w:color="auto" w:sz="4" w:space="0"/>
              <w:bottom w:val="single" w:color="auto" w:sz="4" w:space="0"/>
              <w:right w:val="single" w:color="auto" w:sz="4" w:space="0"/>
            </w:tcBorders>
            <w:vAlign w:val="center"/>
          </w:tcPr>
          <w:p w14:paraId="0CBB0ED7">
            <w:pPr>
              <w:pStyle w:val="45"/>
              <w:jc w:val="both"/>
              <w:rPr>
                <w:rFonts w:asciiTheme="minorEastAsia" w:hAnsiTheme="minorEastAsia" w:eastAsiaTheme="minorEastAsia"/>
                <w:bCs/>
                <w:sz w:val="26"/>
                <w:szCs w:val="26"/>
              </w:rPr>
            </w:pPr>
            <w:r>
              <w:rPr>
                <w:rFonts w:asciiTheme="minorEastAsia" w:hAnsiTheme="minorEastAsia" w:eastAsiaTheme="minorEastAsia"/>
                <w:bCs/>
                <w:sz w:val="26"/>
                <w:szCs w:val="26"/>
              </w:rPr>
              <w:t>3</w:t>
            </w:r>
          </w:p>
        </w:tc>
      </w:tr>
    </w:tbl>
    <w:p w14:paraId="2CD1E2D3">
      <w:pPr>
        <w:adjustRightInd/>
        <w:snapToGrid/>
        <w:spacing w:after="0"/>
        <w:rPr>
          <w:rFonts w:hint="eastAsia" w:asciiTheme="minorEastAsia" w:hAnsiTheme="minorEastAsia" w:eastAsiaTheme="minorEastAsia"/>
          <w:b/>
          <w:sz w:val="28"/>
          <w:szCs w:val="28"/>
        </w:rPr>
      </w:pPr>
      <w:r>
        <w:rPr>
          <w:rFonts w:asciiTheme="minorEastAsia" w:hAnsiTheme="minorEastAsia" w:eastAsiaTheme="minorEastAsia"/>
          <w:b/>
          <w:sz w:val="28"/>
          <w:szCs w:val="28"/>
        </w:rPr>
        <w:br w:type="page"/>
      </w:r>
    </w:p>
    <w:p w14:paraId="14CC01E8">
      <w:pPr>
        <w:pStyle w:val="12"/>
        <w:ind w:firstLine="0"/>
        <w:jc w:val="center"/>
        <w:rPr>
          <w:rFonts w:hint="eastAsia" w:asciiTheme="minorEastAsia" w:hAnsiTheme="minorEastAsia" w:eastAsiaTheme="minorEastAsia"/>
        </w:rPr>
      </w:pPr>
      <w:r>
        <w:rPr>
          <w:rFonts w:hint="eastAsia" w:asciiTheme="minorEastAsia" w:hAnsiTheme="minorEastAsia" w:eastAsiaTheme="minorEastAsia"/>
          <w:b/>
          <w:sz w:val="28"/>
          <w:szCs w:val="28"/>
        </w:rPr>
        <w:t>一、投标书</w:t>
      </w:r>
    </w:p>
    <w:p w14:paraId="7171E371">
      <w:pP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致：福建省肿瘤医院</w:t>
      </w:r>
    </w:p>
    <w:p w14:paraId="392F4ECD">
      <w:pP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1、根据你方项目的投标须知、招标文件等内容，遵照《中华人民共和国招标投标法》等有关规定，经踏勘项目现场和研究上述招标文件的投标须知、条款、数量清单及其他有关文件后，我方愿以人民币（大写）</w:t>
      </w:r>
      <w:r>
        <w:rPr>
          <w:rFonts w:hint="eastAsia" w:asciiTheme="minorEastAsia" w:hAnsiTheme="minorEastAsia" w:eastAsiaTheme="minorEastAsia"/>
          <w:b/>
          <w:sz w:val="28"/>
          <w:szCs w:val="28"/>
          <w:u w:val="single"/>
        </w:rPr>
        <w:t xml:space="preserve">：      </w:t>
      </w:r>
      <w:r>
        <w:rPr>
          <w:rFonts w:hint="eastAsia" w:asciiTheme="minorEastAsia" w:hAnsiTheme="minorEastAsia" w:eastAsiaTheme="minorEastAsia"/>
          <w:sz w:val="28"/>
          <w:szCs w:val="28"/>
          <w:u w:val="single"/>
        </w:rPr>
        <w:t xml:space="preserve">  （小写：           ）</w:t>
      </w:r>
      <w:r>
        <w:rPr>
          <w:rFonts w:hint="eastAsia" w:asciiTheme="minorEastAsia" w:hAnsiTheme="minorEastAsia" w:eastAsiaTheme="minorEastAsia"/>
          <w:sz w:val="28"/>
          <w:szCs w:val="28"/>
        </w:rPr>
        <w:t>的投标报价并按上述条款、标准要求承包上述项目，并承担任何质量缺陷保修责任。</w:t>
      </w:r>
    </w:p>
    <w:p w14:paraId="66EEE5E9">
      <w:pPr>
        <w:ind w:firstLine="532" w:firstLineChars="19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2、我方已详细审核全部招标文件及有关附件。</w:t>
      </w:r>
    </w:p>
    <w:p w14:paraId="75F71ADF">
      <w:pPr>
        <w:ind w:firstLine="532" w:firstLineChars="19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3、一旦我方中标，我方保证质量达到</w:t>
      </w:r>
      <w:r>
        <w:rPr>
          <w:rFonts w:hint="eastAsia" w:asciiTheme="minorEastAsia" w:hAnsiTheme="minorEastAsia" w:eastAsiaTheme="minorEastAsia"/>
          <w:b/>
          <w:sz w:val="28"/>
          <w:szCs w:val="28"/>
          <w:u w:val="single"/>
        </w:rPr>
        <w:t>投标须知、投标文件等规定</w:t>
      </w:r>
      <w:r>
        <w:rPr>
          <w:rFonts w:hint="eastAsia" w:asciiTheme="minorEastAsia" w:hAnsiTheme="minorEastAsia" w:eastAsiaTheme="minorEastAsia"/>
          <w:sz w:val="28"/>
          <w:szCs w:val="28"/>
        </w:rPr>
        <w:t>标准。</w:t>
      </w:r>
    </w:p>
    <w:p w14:paraId="23CEC730">
      <w:pPr>
        <w:ind w:firstLine="532" w:firstLineChars="19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4、我方同意所提交的投标文件在招标文件的投标须知中规定的投标有效期内有效，在此期间内如果中标，我方将受此约束。</w:t>
      </w:r>
    </w:p>
    <w:p w14:paraId="4EBC3EC0">
      <w:pPr>
        <w:ind w:firstLine="426"/>
        <w:rPr>
          <w:rFonts w:hint="eastAsia" w:asciiTheme="minorEastAsia" w:hAnsiTheme="minorEastAsia" w:eastAsiaTheme="minorEastAsia"/>
          <w:sz w:val="28"/>
          <w:szCs w:val="28"/>
        </w:rPr>
      </w:pPr>
      <w:r>
        <w:rPr>
          <w:rFonts w:hint="eastAsia" w:asciiTheme="minorEastAsia" w:hAnsiTheme="minorEastAsia" w:eastAsiaTheme="minorEastAsia"/>
          <w:sz w:val="28"/>
          <w:szCs w:val="28"/>
        </w:rPr>
        <w:t>5、除非另外达成协议并生效，你方的中标通知书和本投标文件将成为约束双方的合同文件的组成部分。</w:t>
      </w:r>
    </w:p>
    <w:p w14:paraId="26C01C13">
      <w:pPr>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附件：报价清单</w:t>
      </w:r>
    </w:p>
    <w:p w14:paraId="3301D3F4">
      <w:pPr>
        <w:spacing w:line="360" w:lineRule="exact"/>
        <w:ind w:firstLine="3220" w:firstLineChars="115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 xml:space="preserve">投标人（盖章）： </w:t>
      </w:r>
    </w:p>
    <w:p w14:paraId="682D0351">
      <w:pPr>
        <w:spacing w:line="360" w:lineRule="exact"/>
        <w:rPr>
          <w:rFonts w:hint="eastAsia" w:asciiTheme="minorEastAsia" w:hAnsiTheme="minorEastAsia" w:eastAsiaTheme="minorEastAsia"/>
          <w:sz w:val="28"/>
          <w:szCs w:val="28"/>
        </w:rPr>
      </w:pPr>
    </w:p>
    <w:p w14:paraId="21E525CD">
      <w:pPr>
        <w:spacing w:line="360" w:lineRule="exact"/>
        <w:ind w:firstLine="3220" w:firstLineChars="115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 xml:space="preserve">单位地址： </w:t>
      </w:r>
    </w:p>
    <w:p w14:paraId="6EE7E81C">
      <w:pPr>
        <w:spacing w:line="360" w:lineRule="exact"/>
        <w:rPr>
          <w:rFonts w:hint="eastAsia" w:asciiTheme="minorEastAsia" w:hAnsiTheme="minorEastAsia" w:eastAsiaTheme="minorEastAsia"/>
          <w:sz w:val="28"/>
          <w:szCs w:val="28"/>
        </w:rPr>
      </w:pPr>
    </w:p>
    <w:p w14:paraId="51C074AE">
      <w:pPr>
        <w:spacing w:line="360" w:lineRule="exact"/>
        <w:ind w:firstLine="3220" w:firstLineChars="115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法定代表人（签字或盖章）：</w:t>
      </w:r>
    </w:p>
    <w:p w14:paraId="5F491073">
      <w:pPr>
        <w:spacing w:line="360" w:lineRule="exact"/>
        <w:rPr>
          <w:rFonts w:hint="eastAsia" w:asciiTheme="minorEastAsia" w:hAnsiTheme="minorEastAsia" w:eastAsiaTheme="minorEastAsia"/>
          <w:sz w:val="28"/>
          <w:szCs w:val="28"/>
        </w:rPr>
      </w:pPr>
    </w:p>
    <w:p w14:paraId="1108F26F">
      <w:pPr>
        <w:spacing w:line="360" w:lineRule="exact"/>
        <w:ind w:firstLine="3220" w:firstLineChars="115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 xml:space="preserve">邮政编码：         </w:t>
      </w:r>
    </w:p>
    <w:p w14:paraId="1F4939F5">
      <w:pPr>
        <w:spacing w:line="360" w:lineRule="exact"/>
        <w:ind w:firstLine="3220" w:firstLineChars="1150"/>
        <w:rPr>
          <w:rFonts w:hint="eastAsia" w:asciiTheme="minorEastAsia" w:hAnsiTheme="minorEastAsia" w:eastAsiaTheme="minorEastAsia"/>
          <w:sz w:val="28"/>
          <w:szCs w:val="28"/>
        </w:rPr>
      </w:pPr>
    </w:p>
    <w:p w14:paraId="5741373B">
      <w:pPr>
        <w:spacing w:line="360" w:lineRule="exact"/>
        <w:ind w:firstLine="3220" w:firstLineChars="115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 xml:space="preserve">电话：       </w:t>
      </w:r>
    </w:p>
    <w:p w14:paraId="7BF0BA5B">
      <w:pPr>
        <w:spacing w:line="360" w:lineRule="exact"/>
        <w:ind w:firstLine="3220" w:firstLineChars="1150"/>
        <w:rPr>
          <w:rFonts w:hint="eastAsia" w:asciiTheme="minorEastAsia" w:hAnsiTheme="minorEastAsia" w:eastAsiaTheme="minorEastAsia"/>
          <w:sz w:val="28"/>
          <w:szCs w:val="28"/>
        </w:rPr>
      </w:pPr>
    </w:p>
    <w:p w14:paraId="5D2A32C9">
      <w:pPr>
        <w:spacing w:line="360" w:lineRule="exact"/>
        <w:ind w:firstLine="3220" w:firstLineChars="115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 xml:space="preserve">传真：  </w:t>
      </w:r>
    </w:p>
    <w:p w14:paraId="36EB416E">
      <w:pPr>
        <w:spacing w:line="360" w:lineRule="exact"/>
        <w:rPr>
          <w:rFonts w:hint="eastAsia" w:asciiTheme="minorEastAsia" w:hAnsiTheme="minorEastAsia" w:eastAsiaTheme="minorEastAsia"/>
          <w:sz w:val="28"/>
          <w:szCs w:val="28"/>
        </w:rPr>
      </w:pPr>
    </w:p>
    <w:p w14:paraId="7A39EED3">
      <w:pPr>
        <w:spacing w:line="360" w:lineRule="exact"/>
        <w:ind w:firstLine="3220" w:firstLineChars="115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 xml:space="preserve">开户银行名称： </w:t>
      </w:r>
    </w:p>
    <w:p w14:paraId="1B8C1B00">
      <w:pPr>
        <w:spacing w:line="360" w:lineRule="exact"/>
        <w:rPr>
          <w:rFonts w:hint="eastAsia" w:asciiTheme="minorEastAsia" w:hAnsiTheme="minorEastAsia" w:eastAsiaTheme="minorEastAsia"/>
          <w:sz w:val="28"/>
          <w:szCs w:val="28"/>
        </w:rPr>
      </w:pPr>
    </w:p>
    <w:p w14:paraId="68F49CB3">
      <w:pPr>
        <w:spacing w:line="360" w:lineRule="exact"/>
        <w:ind w:firstLine="3220" w:firstLineChars="115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 xml:space="preserve">开户银行帐号： </w:t>
      </w:r>
    </w:p>
    <w:p w14:paraId="0B2C66BB">
      <w:pPr>
        <w:spacing w:line="360" w:lineRule="exact"/>
        <w:rPr>
          <w:rFonts w:hint="eastAsia" w:asciiTheme="minorEastAsia" w:hAnsiTheme="minorEastAsia" w:eastAsiaTheme="minorEastAsia"/>
          <w:sz w:val="28"/>
          <w:szCs w:val="28"/>
        </w:rPr>
      </w:pPr>
    </w:p>
    <w:p w14:paraId="416DD665">
      <w:pPr>
        <w:spacing w:line="360" w:lineRule="exact"/>
        <w:jc w:val="cente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开户银行地址：</w:t>
      </w:r>
    </w:p>
    <w:p w14:paraId="2DC6BEF4">
      <w:pPr>
        <w:spacing w:line="360" w:lineRule="exact"/>
        <w:rPr>
          <w:rFonts w:hint="eastAsia" w:asciiTheme="minorEastAsia" w:hAnsiTheme="minorEastAsia" w:eastAsiaTheme="minorEastAsia"/>
          <w:sz w:val="28"/>
          <w:szCs w:val="28"/>
        </w:rPr>
      </w:pPr>
    </w:p>
    <w:p w14:paraId="3C985D73">
      <w:pPr>
        <w:spacing w:line="360" w:lineRule="exact"/>
        <w:ind w:firstLine="3220" w:firstLineChars="115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 xml:space="preserve">开户银行电话： </w:t>
      </w:r>
    </w:p>
    <w:p w14:paraId="3C45D134">
      <w:pPr>
        <w:spacing w:line="360" w:lineRule="exact"/>
        <w:ind w:firstLine="600"/>
        <w:rPr>
          <w:rFonts w:hint="eastAsia" w:asciiTheme="minorEastAsia" w:hAnsiTheme="minorEastAsia" w:eastAsiaTheme="minorEastAsia"/>
          <w:sz w:val="28"/>
          <w:szCs w:val="28"/>
        </w:rPr>
      </w:pPr>
    </w:p>
    <w:p w14:paraId="5D779C38">
      <w:pPr>
        <w:spacing w:line="360" w:lineRule="exact"/>
        <w:jc w:val="right"/>
        <w:rPr>
          <w:rFonts w:hint="eastAsia" w:asciiTheme="minorEastAsia" w:hAnsiTheme="minorEastAsia" w:eastAsiaTheme="minorEastAsia"/>
          <w:sz w:val="28"/>
          <w:szCs w:val="28"/>
        </w:rPr>
      </w:pPr>
      <w:r>
        <w:rPr>
          <w:rFonts w:hint="eastAsia" w:asciiTheme="minorEastAsia" w:hAnsiTheme="minorEastAsia" w:eastAsiaTheme="minorEastAsia"/>
          <w:sz w:val="28"/>
          <w:szCs w:val="28"/>
        </w:rPr>
        <w:t>日期：   年   月    日</w:t>
      </w:r>
    </w:p>
    <w:p w14:paraId="50B0F280">
      <w:pPr>
        <w:rPr>
          <w:rFonts w:hint="eastAsia" w:asciiTheme="minorEastAsia" w:hAnsiTheme="minorEastAsia" w:eastAsiaTheme="minorEastAsia"/>
          <w:sz w:val="28"/>
          <w:szCs w:val="28"/>
        </w:rPr>
      </w:pPr>
    </w:p>
    <w:p w14:paraId="2F53F064">
      <w:pP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附件：投标报价清单</w:t>
      </w:r>
    </w:p>
    <w:p w14:paraId="423A08A4">
      <w:pPr>
        <w:rPr>
          <w:rFonts w:hint="eastAsia" w:asciiTheme="minorEastAsia" w:hAnsiTheme="minorEastAsia" w:eastAsiaTheme="minorEastAsia"/>
          <w:sz w:val="28"/>
          <w:szCs w:val="28"/>
        </w:rPr>
      </w:pPr>
    </w:p>
    <w:tbl>
      <w:tblPr>
        <w:tblStyle w:val="20"/>
        <w:tblW w:w="0" w:type="auto"/>
        <w:jc w:val="center"/>
        <w:tblLayout w:type="fixed"/>
        <w:tblCellMar>
          <w:top w:w="0" w:type="dxa"/>
          <w:left w:w="108" w:type="dxa"/>
          <w:bottom w:w="0" w:type="dxa"/>
          <w:right w:w="108" w:type="dxa"/>
        </w:tblCellMar>
      </w:tblPr>
      <w:tblGrid>
        <w:gridCol w:w="629"/>
        <w:gridCol w:w="4399"/>
        <w:gridCol w:w="1417"/>
        <w:gridCol w:w="1440"/>
      </w:tblGrid>
      <w:tr w14:paraId="3B03DEBA">
        <w:tblPrEx>
          <w:tblCellMar>
            <w:top w:w="0" w:type="dxa"/>
            <w:left w:w="108" w:type="dxa"/>
            <w:bottom w:w="0" w:type="dxa"/>
            <w:right w:w="108" w:type="dxa"/>
          </w:tblCellMar>
        </w:tblPrEx>
        <w:trPr>
          <w:trHeight w:val="784" w:hRule="atLeast"/>
          <w:jc w:val="center"/>
        </w:trPr>
        <w:tc>
          <w:tcPr>
            <w:tcW w:w="629" w:type="dxa"/>
            <w:tcBorders>
              <w:top w:val="single" w:color="auto" w:sz="4" w:space="0"/>
              <w:left w:val="single" w:color="auto" w:sz="4" w:space="0"/>
              <w:bottom w:val="single" w:color="000000" w:sz="4" w:space="0"/>
              <w:right w:val="single" w:color="auto" w:sz="4" w:space="0"/>
            </w:tcBorders>
            <w:shd w:val="clear" w:color="FFFFFF" w:fill="auto"/>
            <w:vAlign w:val="center"/>
          </w:tcPr>
          <w:p w14:paraId="476A4D06">
            <w:pPr>
              <w:jc w:val="center"/>
              <w:rPr>
                <w:rFonts w:hint="eastAsia" w:cs="Arial" w:asciiTheme="minorEastAsia" w:hAnsiTheme="minorEastAsia" w:eastAsiaTheme="minorEastAsia"/>
                <w:sz w:val="28"/>
                <w:szCs w:val="28"/>
              </w:rPr>
            </w:pPr>
          </w:p>
        </w:tc>
        <w:tc>
          <w:tcPr>
            <w:tcW w:w="4399" w:type="dxa"/>
            <w:tcBorders>
              <w:top w:val="single" w:color="auto" w:sz="4" w:space="0"/>
              <w:left w:val="single" w:color="000000" w:sz="4" w:space="0"/>
              <w:bottom w:val="single" w:color="000000" w:sz="4" w:space="0"/>
              <w:right w:val="single" w:color="000000" w:sz="4" w:space="0"/>
            </w:tcBorders>
            <w:shd w:val="clear" w:color="FFFFFF" w:fill="auto"/>
            <w:vAlign w:val="center"/>
          </w:tcPr>
          <w:p w14:paraId="5419CA07">
            <w:pPr>
              <w:jc w:val="center"/>
              <w:rPr>
                <w:rFonts w:hint="eastAsia" w:cs="Arial" w:asciiTheme="minorEastAsia" w:hAnsiTheme="minorEastAsia" w:eastAsiaTheme="minorEastAsia"/>
                <w:sz w:val="28"/>
                <w:szCs w:val="28"/>
              </w:rPr>
            </w:pPr>
          </w:p>
        </w:tc>
        <w:tc>
          <w:tcPr>
            <w:tcW w:w="1417" w:type="dxa"/>
            <w:tcBorders>
              <w:top w:val="single" w:color="auto" w:sz="4" w:space="0"/>
              <w:left w:val="single" w:color="000000" w:sz="4" w:space="0"/>
              <w:bottom w:val="single" w:color="000000" w:sz="4" w:space="0"/>
              <w:right w:val="single" w:color="auto" w:sz="4" w:space="0"/>
            </w:tcBorders>
            <w:shd w:val="clear" w:color="FFFFFF" w:fill="auto"/>
            <w:vAlign w:val="center"/>
          </w:tcPr>
          <w:p w14:paraId="7C684921">
            <w:pPr>
              <w:jc w:val="center"/>
              <w:rPr>
                <w:rFonts w:hint="eastAsia" w:cs="Arial" w:asciiTheme="minorEastAsia" w:hAnsiTheme="minorEastAsia" w:eastAsiaTheme="minorEastAsia"/>
                <w:sz w:val="28"/>
                <w:szCs w:val="28"/>
              </w:rPr>
            </w:pPr>
          </w:p>
        </w:tc>
        <w:tc>
          <w:tcPr>
            <w:tcW w:w="1440" w:type="dxa"/>
            <w:tcBorders>
              <w:top w:val="single" w:color="auto" w:sz="4" w:space="0"/>
              <w:left w:val="single" w:color="000000" w:sz="4" w:space="0"/>
              <w:bottom w:val="single" w:color="000000" w:sz="4" w:space="0"/>
              <w:right w:val="single" w:color="auto" w:sz="4" w:space="0"/>
            </w:tcBorders>
            <w:shd w:val="clear" w:color="FFFFFF" w:fill="auto"/>
            <w:vAlign w:val="center"/>
          </w:tcPr>
          <w:p w14:paraId="47CA67FB">
            <w:pPr>
              <w:jc w:val="center"/>
              <w:rPr>
                <w:rFonts w:hint="eastAsia" w:cs="Arial" w:asciiTheme="minorEastAsia" w:hAnsiTheme="minorEastAsia" w:eastAsiaTheme="minorEastAsia"/>
                <w:sz w:val="28"/>
                <w:szCs w:val="28"/>
              </w:rPr>
            </w:pPr>
          </w:p>
        </w:tc>
      </w:tr>
      <w:tr w14:paraId="0E711CAE">
        <w:tblPrEx>
          <w:tblCellMar>
            <w:top w:w="0" w:type="dxa"/>
            <w:left w:w="108" w:type="dxa"/>
            <w:bottom w:w="0" w:type="dxa"/>
            <w:right w:w="108" w:type="dxa"/>
          </w:tblCellMar>
        </w:tblPrEx>
        <w:trPr>
          <w:trHeight w:val="784" w:hRule="atLeast"/>
          <w:jc w:val="center"/>
        </w:trPr>
        <w:tc>
          <w:tcPr>
            <w:tcW w:w="629" w:type="dxa"/>
            <w:tcBorders>
              <w:top w:val="single" w:color="auto" w:sz="4" w:space="0"/>
              <w:left w:val="single" w:color="auto" w:sz="4" w:space="0"/>
              <w:bottom w:val="single" w:color="auto" w:sz="4" w:space="0"/>
              <w:right w:val="single" w:color="auto" w:sz="4" w:space="0"/>
            </w:tcBorders>
            <w:shd w:val="clear" w:color="FFFFFF" w:fill="auto"/>
            <w:vAlign w:val="center"/>
          </w:tcPr>
          <w:p w14:paraId="1E84578B">
            <w:pPr>
              <w:jc w:val="center"/>
              <w:rPr>
                <w:rFonts w:hint="eastAsia" w:cs="Arial" w:asciiTheme="minorEastAsia" w:hAnsiTheme="minorEastAsia" w:eastAsiaTheme="minorEastAsia"/>
                <w:sz w:val="28"/>
                <w:szCs w:val="28"/>
              </w:rPr>
            </w:pPr>
          </w:p>
        </w:tc>
        <w:tc>
          <w:tcPr>
            <w:tcW w:w="4399" w:type="dxa"/>
            <w:tcBorders>
              <w:top w:val="single" w:color="auto" w:sz="4" w:space="0"/>
              <w:left w:val="single" w:color="000000" w:sz="4" w:space="0"/>
              <w:bottom w:val="single" w:color="auto" w:sz="4" w:space="0"/>
              <w:right w:val="single" w:color="000000" w:sz="4" w:space="0"/>
            </w:tcBorders>
            <w:shd w:val="clear" w:color="FFFFFF" w:fill="auto"/>
            <w:vAlign w:val="center"/>
          </w:tcPr>
          <w:p w14:paraId="561F3E65">
            <w:pPr>
              <w:pStyle w:val="17"/>
              <w:shd w:val="clear" w:color="auto" w:fill="FFFFFF"/>
              <w:spacing w:line="304" w:lineRule="atLeast"/>
              <w:rPr>
                <w:rFonts w:hint="eastAsia" w:cs="宋体" w:asciiTheme="minorEastAsia" w:hAnsiTheme="minorEastAsia" w:eastAsiaTheme="minorEastAsia"/>
                <w:kern w:val="2"/>
                <w:sz w:val="28"/>
                <w:szCs w:val="28"/>
              </w:rPr>
            </w:pPr>
          </w:p>
        </w:tc>
        <w:tc>
          <w:tcPr>
            <w:tcW w:w="1417" w:type="dxa"/>
            <w:tcBorders>
              <w:top w:val="single" w:color="auto" w:sz="4" w:space="0"/>
              <w:left w:val="single" w:color="000000" w:sz="4" w:space="0"/>
              <w:bottom w:val="single" w:color="auto" w:sz="4" w:space="0"/>
              <w:right w:val="single" w:color="auto" w:sz="4" w:space="0"/>
            </w:tcBorders>
            <w:shd w:val="clear" w:color="FFFFFF" w:fill="auto"/>
          </w:tcPr>
          <w:p w14:paraId="07A98CCD">
            <w:pPr>
              <w:jc w:val="center"/>
              <w:rPr>
                <w:rFonts w:hint="eastAsia" w:cs="Arial" w:asciiTheme="minorEastAsia" w:hAnsiTheme="minorEastAsia" w:eastAsiaTheme="minorEastAsia"/>
                <w:sz w:val="28"/>
                <w:szCs w:val="28"/>
              </w:rPr>
            </w:pPr>
          </w:p>
        </w:tc>
        <w:tc>
          <w:tcPr>
            <w:tcW w:w="1440" w:type="dxa"/>
            <w:tcBorders>
              <w:top w:val="single" w:color="auto" w:sz="4" w:space="0"/>
              <w:left w:val="single" w:color="000000" w:sz="4" w:space="0"/>
              <w:bottom w:val="single" w:color="auto" w:sz="4" w:space="0"/>
              <w:right w:val="single" w:color="auto" w:sz="4" w:space="0"/>
            </w:tcBorders>
            <w:shd w:val="clear" w:color="FFFFFF" w:fill="auto"/>
          </w:tcPr>
          <w:p w14:paraId="0E8B3B5D">
            <w:pPr>
              <w:jc w:val="center"/>
              <w:rPr>
                <w:rFonts w:hint="eastAsia" w:cs="Arial" w:asciiTheme="minorEastAsia" w:hAnsiTheme="minorEastAsia" w:eastAsiaTheme="minorEastAsia"/>
                <w:sz w:val="28"/>
                <w:szCs w:val="28"/>
              </w:rPr>
            </w:pPr>
          </w:p>
        </w:tc>
      </w:tr>
      <w:tr w14:paraId="018644FA">
        <w:tblPrEx>
          <w:tblCellMar>
            <w:top w:w="0" w:type="dxa"/>
            <w:left w:w="108" w:type="dxa"/>
            <w:bottom w:w="0" w:type="dxa"/>
            <w:right w:w="108" w:type="dxa"/>
          </w:tblCellMar>
        </w:tblPrEx>
        <w:trPr>
          <w:trHeight w:val="784" w:hRule="atLeast"/>
          <w:jc w:val="center"/>
        </w:trPr>
        <w:tc>
          <w:tcPr>
            <w:tcW w:w="629" w:type="dxa"/>
            <w:tcBorders>
              <w:top w:val="single" w:color="auto" w:sz="4" w:space="0"/>
              <w:left w:val="single" w:color="auto" w:sz="4" w:space="0"/>
              <w:bottom w:val="single" w:color="auto" w:sz="4" w:space="0"/>
              <w:right w:val="single" w:color="auto" w:sz="4" w:space="0"/>
            </w:tcBorders>
            <w:shd w:val="clear" w:color="FFFFFF" w:fill="auto"/>
            <w:vAlign w:val="center"/>
          </w:tcPr>
          <w:p w14:paraId="2465F40A">
            <w:pPr>
              <w:jc w:val="center"/>
              <w:rPr>
                <w:rFonts w:hint="eastAsia" w:cs="Arial" w:asciiTheme="minorEastAsia" w:hAnsiTheme="minorEastAsia" w:eastAsiaTheme="minorEastAsia"/>
                <w:sz w:val="28"/>
                <w:szCs w:val="28"/>
              </w:rPr>
            </w:pPr>
          </w:p>
        </w:tc>
        <w:tc>
          <w:tcPr>
            <w:tcW w:w="4399" w:type="dxa"/>
            <w:tcBorders>
              <w:top w:val="single" w:color="auto" w:sz="4" w:space="0"/>
              <w:left w:val="single" w:color="000000" w:sz="4" w:space="0"/>
              <w:bottom w:val="single" w:color="auto" w:sz="4" w:space="0"/>
              <w:right w:val="single" w:color="000000" w:sz="4" w:space="0"/>
            </w:tcBorders>
            <w:shd w:val="clear" w:color="FFFFFF" w:fill="auto"/>
            <w:vAlign w:val="center"/>
          </w:tcPr>
          <w:p w14:paraId="764FD947">
            <w:pPr>
              <w:pStyle w:val="17"/>
              <w:shd w:val="clear" w:color="auto" w:fill="FFFFFF"/>
              <w:spacing w:line="304" w:lineRule="atLeast"/>
              <w:rPr>
                <w:rFonts w:hint="eastAsia" w:cs="宋体" w:asciiTheme="minorEastAsia" w:hAnsiTheme="minorEastAsia" w:eastAsiaTheme="minorEastAsia"/>
                <w:kern w:val="2"/>
                <w:sz w:val="28"/>
                <w:szCs w:val="28"/>
              </w:rPr>
            </w:pPr>
          </w:p>
        </w:tc>
        <w:tc>
          <w:tcPr>
            <w:tcW w:w="1417" w:type="dxa"/>
            <w:tcBorders>
              <w:top w:val="single" w:color="auto" w:sz="4" w:space="0"/>
              <w:left w:val="single" w:color="000000" w:sz="4" w:space="0"/>
              <w:bottom w:val="single" w:color="auto" w:sz="4" w:space="0"/>
              <w:right w:val="single" w:color="auto" w:sz="4" w:space="0"/>
            </w:tcBorders>
            <w:shd w:val="clear" w:color="FFFFFF" w:fill="auto"/>
          </w:tcPr>
          <w:p w14:paraId="704F7B17">
            <w:pPr>
              <w:jc w:val="center"/>
              <w:rPr>
                <w:rFonts w:hint="eastAsia" w:cs="Arial" w:asciiTheme="minorEastAsia" w:hAnsiTheme="minorEastAsia" w:eastAsiaTheme="minorEastAsia"/>
                <w:sz w:val="28"/>
                <w:szCs w:val="28"/>
              </w:rPr>
            </w:pPr>
          </w:p>
        </w:tc>
        <w:tc>
          <w:tcPr>
            <w:tcW w:w="1440" w:type="dxa"/>
            <w:tcBorders>
              <w:top w:val="single" w:color="auto" w:sz="4" w:space="0"/>
              <w:left w:val="single" w:color="000000" w:sz="4" w:space="0"/>
              <w:bottom w:val="single" w:color="auto" w:sz="4" w:space="0"/>
              <w:right w:val="single" w:color="auto" w:sz="4" w:space="0"/>
            </w:tcBorders>
            <w:shd w:val="clear" w:color="FFFFFF" w:fill="auto"/>
          </w:tcPr>
          <w:p w14:paraId="34321CC3">
            <w:pPr>
              <w:jc w:val="center"/>
              <w:rPr>
                <w:rFonts w:hint="eastAsia" w:cs="Arial" w:asciiTheme="minorEastAsia" w:hAnsiTheme="minorEastAsia" w:eastAsiaTheme="minorEastAsia"/>
                <w:sz w:val="28"/>
                <w:szCs w:val="28"/>
              </w:rPr>
            </w:pPr>
          </w:p>
        </w:tc>
      </w:tr>
    </w:tbl>
    <w:p w14:paraId="1710E006">
      <w:pPr>
        <w:jc w:val="center"/>
        <w:rPr>
          <w:rFonts w:hint="eastAsia" w:asciiTheme="minorEastAsia" w:hAnsiTheme="minorEastAsia" w:eastAsiaTheme="minorEastAsia"/>
          <w:sz w:val="28"/>
          <w:szCs w:val="28"/>
        </w:rPr>
      </w:pPr>
    </w:p>
    <w:p w14:paraId="548E1689">
      <w:pPr>
        <w:adjustRightInd/>
        <w:snapToGrid/>
        <w:spacing w:after="0"/>
        <w:rPr>
          <w:rFonts w:hint="eastAsia" w:asciiTheme="minorEastAsia" w:hAnsiTheme="minorEastAsia" w:eastAsiaTheme="minorEastAsia"/>
          <w:b/>
          <w:sz w:val="28"/>
          <w:szCs w:val="28"/>
        </w:rPr>
      </w:pPr>
      <w:r>
        <w:rPr>
          <w:rFonts w:asciiTheme="minorEastAsia" w:hAnsiTheme="minorEastAsia" w:eastAsiaTheme="minorEastAsia"/>
          <w:b/>
          <w:sz w:val="28"/>
          <w:szCs w:val="28"/>
        </w:rPr>
        <w:br w:type="page"/>
      </w:r>
    </w:p>
    <w:p w14:paraId="7D6EF84E">
      <w:pPr>
        <w:jc w:val="center"/>
        <w:rPr>
          <w:rFonts w:hint="eastAsia" w:asciiTheme="minorEastAsia" w:hAnsiTheme="minorEastAsia" w:eastAsiaTheme="minorEastAsia"/>
          <w:b/>
          <w:sz w:val="28"/>
          <w:szCs w:val="28"/>
        </w:rPr>
      </w:pPr>
      <w:r>
        <w:rPr>
          <w:rFonts w:hint="eastAsia" w:asciiTheme="minorEastAsia" w:hAnsiTheme="minorEastAsia" w:eastAsiaTheme="minorEastAsia"/>
          <w:b/>
          <w:sz w:val="28"/>
          <w:szCs w:val="28"/>
        </w:rPr>
        <w:t>二、投标委托代表人资格证明书</w:t>
      </w:r>
    </w:p>
    <w:p w14:paraId="2538C189">
      <w:pPr>
        <w:rPr>
          <w:rFonts w:hint="eastAsia" w:asciiTheme="minorEastAsia" w:hAnsiTheme="minorEastAsia" w:eastAsiaTheme="minorEastAsia"/>
          <w:sz w:val="28"/>
          <w:szCs w:val="28"/>
        </w:rPr>
      </w:pPr>
    </w:p>
    <w:p w14:paraId="0D6563F0">
      <w:pPr>
        <w:spacing w:line="360" w:lineRule="auto"/>
        <w:rPr>
          <w:rFonts w:hint="eastAsia" w:asciiTheme="minorEastAsia" w:hAnsiTheme="minorEastAsia" w:eastAsiaTheme="minorEastAsia"/>
          <w:sz w:val="28"/>
          <w:szCs w:val="28"/>
          <w:u w:val="single"/>
        </w:rPr>
      </w:pPr>
      <w:r>
        <w:rPr>
          <w:rFonts w:hint="eastAsia" w:asciiTheme="minorEastAsia" w:hAnsiTheme="minorEastAsia" w:eastAsiaTheme="minorEastAsia"/>
          <w:sz w:val="28"/>
          <w:szCs w:val="28"/>
        </w:rPr>
        <w:t>单位名称：</w:t>
      </w:r>
    </w:p>
    <w:p w14:paraId="05B7A663">
      <w:pPr>
        <w:spacing w:line="360" w:lineRule="auto"/>
        <w:rPr>
          <w:rFonts w:hint="eastAsia" w:asciiTheme="minorEastAsia" w:hAnsiTheme="minorEastAsia" w:eastAsiaTheme="minorEastAsia"/>
          <w:sz w:val="28"/>
          <w:szCs w:val="28"/>
          <w:u w:val="single"/>
        </w:rPr>
      </w:pPr>
      <w:r>
        <w:rPr>
          <w:rFonts w:hint="eastAsia" w:asciiTheme="minorEastAsia" w:hAnsiTheme="minorEastAsia" w:eastAsiaTheme="minorEastAsia"/>
          <w:sz w:val="28"/>
          <w:szCs w:val="28"/>
        </w:rPr>
        <w:t>地址：</w:t>
      </w:r>
    </w:p>
    <w:p w14:paraId="7176E048">
      <w:pPr>
        <w:spacing w:line="360" w:lineRule="auto"/>
        <w:rPr>
          <w:rFonts w:hint="eastAsia" w:asciiTheme="minorEastAsia" w:hAnsiTheme="minorEastAsia" w:eastAsiaTheme="minorEastAsia"/>
          <w:sz w:val="28"/>
          <w:szCs w:val="28"/>
        </w:rPr>
      </w:pPr>
      <w:r>
        <w:rPr>
          <w:rFonts w:hint="eastAsia" w:asciiTheme="minorEastAsia" w:hAnsiTheme="minorEastAsia" w:eastAsiaTheme="minorEastAsia"/>
          <w:sz w:val="28"/>
          <w:szCs w:val="28"/>
        </w:rPr>
        <w:t>姓名：    性别：年龄：  职务：   系委托代表人。为施工、竣工和保修项目，签署上述项目的投标文件、进行合同谈判、签署合同和处理与之有关的一切事务。</w:t>
      </w:r>
    </w:p>
    <w:p w14:paraId="78870C76">
      <w:pPr>
        <w:spacing w:line="360" w:lineRule="auto"/>
        <w:rPr>
          <w:rFonts w:hint="eastAsia" w:asciiTheme="minorEastAsia" w:hAnsiTheme="minorEastAsia" w:eastAsiaTheme="minorEastAsia"/>
          <w:sz w:val="28"/>
          <w:szCs w:val="28"/>
        </w:rPr>
      </w:pPr>
    </w:p>
    <w:p w14:paraId="6FF5F0B1">
      <w:pPr>
        <w:spacing w:line="360" w:lineRule="auto"/>
        <w:ind w:firstLine="5460" w:firstLineChars="195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 xml:space="preserve">投标人（盖章）：   </w:t>
      </w:r>
    </w:p>
    <w:p w14:paraId="491FB0CF">
      <w:pPr>
        <w:spacing w:line="360" w:lineRule="auto"/>
        <w:ind w:firstLine="5740" w:firstLineChars="205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年   月  日</w:t>
      </w:r>
    </w:p>
    <w:p w14:paraId="5FCECE70">
      <w:pPr>
        <w:jc w:val="center"/>
        <w:rPr>
          <w:rFonts w:hint="eastAsia" w:asciiTheme="minorEastAsia" w:hAnsiTheme="minorEastAsia" w:eastAsiaTheme="minorEastAsia"/>
          <w:b/>
          <w:sz w:val="28"/>
          <w:szCs w:val="28"/>
        </w:rPr>
      </w:pPr>
    </w:p>
    <w:p w14:paraId="1BD28557">
      <w:pPr>
        <w:jc w:val="center"/>
        <w:rPr>
          <w:rFonts w:hint="eastAsia" w:asciiTheme="minorEastAsia" w:hAnsiTheme="minorEastAsia" w:eastAsiaTheme="minorEastAsia"/>
          <w:b/>
          <w:sz w:val="28"/>
          <w:szCs w:val="28"/>
        </w:rPr>
      </w:pPr>
    </w:p>
    <w:p w14:paraId="1D7AC0BA">
      <w:pPr>
        <w:adjustRightInd/>
        <w:snapToGrid/>
        <w:spacing w:after="0"/>
        <w:rPr>
          <w:rFonts w:hint="eastAsia" w:asciiTheme="minorEastAsia" w:hAnsiTheme="minorEastAsia" w:eastAsiaTheme="minorEastAsia"/>
          <w:b/>
          <w:sz w:val="28"/>
          <w:szCs w:val="28"/>
        </w:rPr>
      </w:pPr>
      <w:r>
        <w:rPr>
          <w:rFonts w:asciiTheme="minorEastAsia" w:hAnsiTheme="minorEastAsia" w:eastAsiaTheme="minorEastAsia"/>
          <w:b/>
          <w:sz w:val="28"/>
          <w:szCs w:val="28"/>
        </w:rPr>
        <w:br w:type="page"/>
      </w:r>
    </w:p>
    <w:p w14:paraId="76522E99">
      <w:pPr>
        <w:jc w:val="center"/>
        <w:rPr>
          <w:rFonts w:hint="eastAsia" w:asciiTheme="minorEastAsia" w:hAnsiTheme="minorEastAsia" w:eastAsiaTheme="minorEastAsia"/>
          <w:b/>
          <w:sz w:val="28"/>
          <w:szCs w:val="28"/>
        </w:rPr>
      </w:pPr>
      <w:r>
        <w:rPr>
          <w:rFonts w:hint="eastAsia" w:asciiTheme="minorEastAsia" w:hAnsiTheme="minorEastAsia" w:eastAsiaTheme="minorEastAsia"/>
          <w:b/>
          <w:sz w:val="28"/>
          <w:szCs w:val="28"/>
        </w:rPr>
        <w:t>三、投标承诺书</w:t>
      </w:r>
    </w:p>
    <w:p w14:paraId="49D2952C">
      <w:pPr>
        <w:tabs>
          <w:tab w:val="left" w:pos="5355"/>
        </w:tabs>
        <w:spacing w:before="100" w:beforeAutospacing="1" w:after="100" w:afterAutospacing="1" w:line="480" w:lineRule="auto"/>
        <w:ind w:firstLine="560" w:firstLineChars="200"/>
        <w:rPr>
          <w:rFonts w:hint="eastAsia" w:cs="宋体" w:asciiTheme="minorEastAsia" w:hAnsiTheme="minorEastAsia" w:eastAsiaTheme="minorEastAsia"/>
          <w:bCs/>
          <w:sz w:val="28"/>
          <w:szCs w:val="28"/>
        </w:rPr>
      </w:pPr>
      <w:r>
        <w:rPr>
          <w:rFonts w:hint="eastAsia" w:cs="宋体" w:asciiTheme="minorEastAsia" w:hAnsiTheme="minorEastAsia" w:eastAsiaTheme="minorEastAsia"/>
          <w:bCs/>
          <w:sz w:val="28"/>
          <w:szCs w:val="28"/>
        </w:rPr>
        <w:t>我司承诺对项目的院内公开招标最终确定的综合评定最优结果表示认可，并承诺不会对福建省肿瘤医院在本项目招标过程中的工作模式以及终止本项目招标的可能提出疑议。</w:t>
      </w:r>
    </w:p>
    <w:p w14:paraId="2EB1A0E9">
      <w:pPr>
        <w:tabs>
          <w:tab w:val="left" w:pos="5355"/>
        </w:tabs>
        <w:spacing w:before="100" w:beforeAutospacing="1" w:after="100" w:afterAutospacing="1" w:line="480" w:lineRule="auto"/>
        <w:ind w:firstLine="560" w:firstLineChars="200"/>
        <w:rPr>
          <w:rFonts w:hint="eastAsia" w:cs="宋体" w:asciiTheme="minorEastAsia" w:hAnsiTheme="minorEastAsia" w:eastAsiaTheme="minorEastAsia"/>
          <w:sz w:val="28"/>
          <w:szCs w:val="28"/>
        </w:rPr>
      </w:pPr>
      <w:r>
        <w:rPr>
          <w:rFonts w:hint="eastAsia" w:cs="宋体" w:asciiTheme="minorEastAsia" w:hAnsiTheme="minorEastAsia" w:eastAsiaTheme="minorEastAsia"/>
          <w:bCs/>
          <w:sz w:val="28"/>
          <w:szCs w:val="28"/>
        </w:rPr>
        <w:t>我司承诺本投标所有的相关承诺书、投标文件等都作为本项目合同不可分割的部分，并承诺本项目合同、承诺书、投标书、方案等相关资料中发生歧义、冲突的条款、指标均以福建省肿瘤医院解释或要求为标准。投标人承诺中标后能够完全配合本项目施工的进度开展工作。</w:t>
      </w:r>
    </w:p>
    <w:p w14:paraId="6F76E202">
      <w:pPr>
        <w:tabs>
          <w:tab w:val="left" w:pos="5355"/>
        </w:tabs>
        <w:spacing w:before="100" w:beforeAutospacing="1" w:after="100" w:afterAutospacing="1" w:line="480" w:lineRule="auto"/>
        <w:ind w:firstLine="560" w:firstLineChars="200"/>
        <w:rPr>
          <w:rFonts w:hint="eastAsia" w:cs="宋体" w:asciiTheme="minorEastAsia" w:hAnsiTheme="minorEastAsia" w:eastAsiaTheme="minorEastAsia"/>
          <w:sz w:val="28"/>
          <w:szCs w:val="28"/>
        </w:rPr>
      </w:pPr>
      <w:r>
        <w:rPr>
          <w:rFonts w:hint="eastAsia" w:cs="宋体" w:asciiTheme="minorEastAsia" w:hAnsiTheme="minorEastAsia" w:eastAsiaTheme="minorEastAsia"/>
          <w:bCs/>
          <w:sz w:val="28"/>
          <w:szCs w:val="28"/>
        </w:rPr>
        <w:t>我司承诺福建省肿瘤医院在授予我司合同时有权利增加补充相关内容。</w:t>
      </w:r>
    </w:p>
    <w:p w14:paraId="3EC95EFD">
      <w:pPr>
        <w:tabs>
          <w:tab w:val="left" w:pos="5355"/>
        </w:tabs>
        <w:spacing w:before="100" w:beforeAutospacing="1" w:after="100" w:afterAutospacing="1" w:line="480" w:lineRule="auto"/>
        <w:rPr>
          <w:rFonts w:hint="eastAsia" w:cs="宋体" w:asciiTheme="minorEastAsia" w:hAnsiTheme="minorEastAsia" w:eastAsiaTheme="minorEastAsia"/>
          <w:sz w:val="28"/>
          <w:szCs w:val="28"/>
        </w:rPr>
      </w:pPr>
      <w:r>
        <w:rPr>
          <w:rFonts w:hint="eastAsia" w:cs="宋体" w:asciiTheme="minorEastAsia" w:hAnsiTheme="minorEastAsia" w:eastAsiaTheme="minorEastAsia"/>
          <w:sz w:val="28"/>
          <w:szCs w:val="28"/>
        </w:rPr>
        <w:t>投标人名称（全称并加公章）：</w:t>
      </w:r>
    </w:p>
    <w:p w14:paraId="4E4DD7EA">
      <w:pPr>
        <w:tabs>
          <w:tab w:val="left" w:pos="5355"/>
        </w:tabs>
        <w:spacing w:before="100" w:beforeAutospacing="1" w:after="100" w:afterAutospacing="1" w:line="480" w:lineRule="auto"/>
        <w:rPr>
          <w:rFonts w:hint="eastAsia" w:cs="宋体" w:asciiTheme="minorEastAsia" w:hAnsiTheme="minorEastAsia" w:eastAsiaTheme="minorEastAsia"/>
          <w:sz w:val="28"/>
          <w:szCs w:val="28"/>
        </w:rPr>
      </w:pPr>
      <w:r>
        <w:rPr>
          <w:rFonts w:hint="eastAsia" w:cs="宋体" w:asciiTheme="minorEastAsia" w:hAnsiTheme="minorEastAsia" w:eastAsiaTheme="minorEastAsia"/>
          <w:sz w:val="28"/>
          <w:szCs w:val="28"/>
        </w:rPr>
        <w:t>投标人代表签字：</w:t>
      </w:r>
    </w:p>
    <w:p w14:paraId="1B611B34">
      <w:pPr>
        <w:tabs>
          <w:tab w:val="left" w:pos="5355"/>
        </w:tabs>
        <w:spacing w:before="100" w:beforeAutospacing="1" w:after="100" w:afterAutospacing="1" w:line="480" w:lineRule="auto"/>
        <w:rPr>
          <w:rFonts w:hint="eastAsia" w:asciiTheme="minorEastAsia" w:hAnsiTheme="minorEastAsia" w:eastAsiaTheme="minorEastAsia"/>
          <w:b/>
          <w:sz w:val="28"/>
          <w:szCs w:val="28"/>
        </w:rPr>
      </w:pPr>
      <w:r>
        <w:rPr>
          <w:rFonts w:hint="eastAsia" w:cs="宋体" w:asciiTheme="minorEastAsia" w:hAnsiTheme="minorEastAsia" w:eastAsiaTheme="minorEastAsia"/>
          <w:sz w:val="28"/>
          <w:szCs w:val="28"/>
        </w:rPr>
        <w:t>日期：     年    月   日</w:t>
      </w:r>
    </w:p>
    <w:p w14:paraId="775D62A5">
      <w:pPr>
        <w:spacing w:line="380" w:lineRule="exact"/>
        <w:rPr>
          <w:rFonts w:hint="eastAsia" w:asciiTheme="minorEastAsia" w:hAnsiTheme="minorEastAsia" w:eastAsiaTheme="minorEastAsia"/>
          <w:sz w:val="28"/>
          <w:szCs w:val="28"/>
        </w:rPr>
      </w:pPr>
    </w:p>
    <w:p w14:paraId="549E3C17">
      <w:pPr>
        <w:adjustRightInd/>
        <w:snapToGrid/>
        <w:spacing w:after="0"/>
        <w:rPr>
          <w:rFonts w:hint="eastAsia" w:asciiTheme="minorEastAsia" w:hAnsiTheme="minorEastAsia" w:eastAsiaTheme="minorEastAsia"/>
          <w:sz w:val="28"/>
          <w:szCs w:val="28"/>
        </w:rPr>
      </w:pPr>
      <w:r>
        <w:rPr>
          <w:rFonts w:hint="eastAsia" w:asciiTheme="minorEastAsia" w:hAnsiTheme="minorEastAsia" w:eastAsiaTheme="minorEastAsia"/>
          <w:sz w:val="28"/>
          <w:szCs w:val="28"/>
        </w:rPr>
        <w:br w:type="page"/>
      </w:r>
    </w:p>
    <w:p w14:paraId="27D9FD67">
      <w:pPr>
        <w:jc w:val="center"/>
        <w:rPr>
          <w:rFonts w:hint="eastAsia" w:asciiTheme="minorEastAsia" w:hAnsiTheme="minorEastAsia" w:eastAsiaTheme="minorEastAsia"/>
          <w:b/>
          <w:sz w:val="28"/>
          <w:szCs w:val="28"/>
        </w:rPr>
      </w:pPr>
      <w:r>
        <w:rPr>
          <w:rFonts w:asciiTheme="minorEastAsia" w:hAnsiTheme="minorEastAsia" w:eastAsiaTheme="minorEastAsia"/>
          <w:b/>
          <w:sz w:val="28"/>
          <w:szCs w:val="28"/>
        </w:rPr>
        <w:t>四、采购供应商资格承诺函</w:t>
      </w:r>
    </w:p>
    <w:p w14:paraId="70DB219F">
      <w:pPr>
        <w:pStyle w:val="45"/>
        <w:ind w:firstLine="480"/>
        <w:rPr>
          <w:rFonts w:cs="宋体" w:asciiTheme="minorEastAsia" w:hAnsiTheme="minorEastAsia" w:eastAsiaTheme="minorEastAsia"/>
          <w:bCs/>
        </w:rPr>
      </w:pPr>
      <w:r>
        <w:rPr>
          <w:rFonts w:cs="宋体" w:asciiTheme="minorEastAsia" w:hAnsiTheme="minorEastAsia" w:eastAsiaTheme="minorEastAsia"/>
          <w:bCs/>
        </w:rPr>
        <w:t>致：（采购人或采购代理机构）</w:t>
      </w:r>
    </w:p>
    <w:p w14:paraId="21A5BC5C">
      <w:pPr>
        <w:pStyle w:val="45"/>
        <w:ind w:firstLine="960"/>
        <w:rPr>
          <w:rFonts w:cs="宋体" w:asciiTheme="minorEastAsia" w:hAnsiTheme="minorEastAsia" w:eastAsiaTheme="minorEastAsia"/>
          <w:bCs/>
        </w:rPr>
      </w:pPr>
      <w:r>
        <w:rPr>
          <w:rFonts w:cs="宋体" w:asciiTheme="minorEastAsia" w:hAnsiTheme="minorEastAsia" w:eastAsiaTheme="minorEastAsia"/>
          <w:bCs/>
        </w:rPr>
        <w:t>单位名称(自然人姓名):</w:t>
      </w:r>
    </w:p>
    <w:p w14:paraId="6E37E8F7">
      <w:pPr>
        <w:pStyle w:val="45"/>
        <w:ind w:firstLine="960"/>
        <w:rPr>
          <w:rFonts w:cs="宋体" w:asciiTheme="minorEastAsia" w:hAnsiTheme="minorEastAsia" w:eastAsiaTheme="minorEastAsia"/>
          <w:bCs/>
        </w:rPr>
      </w:pPr>
      <w:r>
        <w:rPr>
          <w:rFonts w:cs="宋体" w:asciiTheme="minorEastAsia" w:hAnsiTheme="minorEastAsia" w:eastAsiaTheme="minorEastAsia"/>
          <w:bCs/>
        </w:rPr>
        <w:t>统一社会信用代码(自然人身份证号码):</w:t>
      </w:r>
    </w:p>
    <w:p w14:paraId="71F139DF">
      <w:pPr>
        <w:pStyle w:val="45"/>
        <w:ind w:firstLine="960"/>
        <w:rPr>
          <w:rFonts w:cs="宋体" w:asciiTheme="minorEastAsia" w:hAnsiTheme="minorEastAsia" w:eastAsiaTheme="minorEastAsia"/>
          <w:bCs/>
        </w:rPr>
      </w:pPr>
      <w:r>
        <w:rPr>
          <w:rFonts w:cs="宋体" w:asciiTheme="minorEastAsia" w:hAnsiTheme="minorEastAsia" w:eastAsiaTheme="minorEastAsia"/>
          <w:bCs/>
        </w:rPr>
        <w:t>法定代表人(负责人):</w:t>
      </w:r>
    </w:p>
    <w:p w14:paraId="4E4620D0">
      <w:pPr>
        <w:pStyle w:val="45"/>
        <w:ind w:firstLine="960"/>
        <w:rPr>
          <w:rFonts w:cs="宋体" w:asciiTheme="minorEastAsia" w:hAnsiTheme="minorEastAsia" w:eastAsiaTheme="minorEastAsia"/>
          <w:bCs/>
        </w:rPr>
      </w:pPr>
      <w:r>
        <w:rPr>
          <w:rFonts w:cs="宋体" w:asciiTheme="minorEastAsia" w:hAnsiTheme="minorEastAsia" w:eastAsiaTheme="minorEastAsia"/>
          <w:bCs/>
        </w:rPr>
        <w:t>联系地址和电话:</w:t>
      </w:r>
    </w:p>
    <w:p w14:paraId="7365AEB1">
      <w:pPr>
        <w:pStyle w:val="45"/>
        <w:ind w:firstLine="480"/>
        <w:rPr>
          <w:rFonts w:cs="宋体" w:asciiTheme="minorEastAsia" w:hAnsiTheme="minorEastAsia" w:eastAsiaTheme="minorEastAsia"/>
          <w:bCs/>
        </w:rPr>
      </w:pPr>
      <w:r>
        <w:rPr>
          <w:rFonts w:cs="宋体" w:asciiTheme="minorEastAsia" w:hAnsiTheme="minorEastAsia" w:eastAsiaTheme="minorEastAsia"/>
          <w:bCs/>
        </w:rPr>
        <w:t>我单位(本人)自愿参加本次政府采购活动，严格遵守《中华人民共和国政府采购法》及相关法律法规，坚守公开、公平公正和诚实信用等原则，依法诚信经营，并郑重承诺:</w:t>
      </w:r>
    </w:p>
    <w:p w14:paraId="1EEBA20E">
      <w:pPr>
        <w:pStyle w:val="45"/>
        <w:ind w:firstLine="480"/>
        <w:rPr>
          <w:rFonts w:cs="宋体" w:asciiTheme="minorEastAsia" w:hAnsiTheme="minorEastAsia" w:eastAsiaTheme="minorEastAsia"/>
          <w:bCs/>
        </w:rPr>
      </w:pPr>
      <w:r>
        <w:rPr>
          <w:rFonts w:cs="宋体" w:asciiTheme="minorEastAsia" w:hAnsiTheme="minorEastAsia" w:eastAsiaTheme="minorEastAsia"/>
          <w:bCs/>
        </w:rPr>
        <w:t>一、我单位(本人)具备采购文件要求以及《中华人民共和国政府采购法》第二十二条规定的条件:</w:t>
      </w:r>
    </w:p>
    <w:p w14:paraId="50B4C056">
      <w:pPr>
        <w:pStyle w:val="45"/>
        <w:ind w:firstLine="960"/>
        <w:rPr>
          <w:rFonts w:cs="宋体" w:asciiTheme="minorEastAsia" w:hAnsiTheme="minorEastAsia" w:eastAsiaTheme="minorEastAsia"/>
          <w:bCs/>
        </w:rPr>
      </w:pPr>
      <w:r>
        <w:rPr>
          <w:rFonts w:cs="宋体" w:asciiTheme="minorEastAsia" w:hAnsiTheme="minorEastAsia" w:eastAsiaTheme="minorEastAsia"/>
          <w:bCs/>
        </w:rPr>
        <w:t>1.具有独立承担民事责任的能力;</w:t>
      </w:r>
    </w:p>
    <w:p w14:paraId="4143877F">
      <w:pPr>
        <w:pStyle w:val="45"/>
        <w:ind w:firstLine="960"/>
        <w:rPr>
          <w:rFonts w:cs="宋体" w:asciiTheme="minorEastAsia" w:hAnsiTheme="minorEastAsia" w:eastAsiaTheme="minorEastAsia"/>
          <w:bCs/>
        </w:rPr>
      </w:pPr>
      <w:r>
        <w:rPr>
          <w:rFonts w:cs="宋体" w:asciiTheme="minorEastAsia" w:hAnsiTheme="minorEastAsia" w:eastAsiaTheme="minorEastAsia"/>
          <w:bCs/>
        </w:rPr>
        <w:t>2.具有良好的商业信誉和健全的财务会计制度;</w:t>
      </w:r>
    </w:p>
    <w:p w14:paraId="56B1EE53">
      <w:pPr>
        <w:pStyle w:val="45"/>
        <w:ind w:firstLine="960"/>
        <w:rPr>
          <w:rFonts w:cs="宋体" w:asciiTheme="minorEastAsia" w:hAnsiTheme="minorEastAsia" w:eastAsiaTheme="minorEastAsia"/>
          <w:bCs/>
        </w:rPr>
      </w:pPr>
      <w:r>
        <w:rPr>
          <w:rFonts w:cs="宋体" w:asciiTheme="minorEastAsia" w:hAnsiTheme="minorEastAsia" w:eastAsiaTheme="minorEastAsia"/>
          <w:bCs/>
        </w:rPr>
        <w:t>3.具有履行合同所必需的设备和专业技术能力;</w:t>
      </w:r>
    </w:p>
    <w:p w14:paraId="0310C22B">
      <w:pPr>
        <w:pStyle w:val="45"/>
        <w:ind w:firstLine="960"/>
        <w:rPr>
          <w:rFonts w:cs="宋体" w:asciiTheme="minorEastAsia" w:hAnsiTheme="minorEastAsia" w:eastAsiaTheme="minorEastAsia"/>
          <w:bCs/>
        </w:rPr>
      </w:pPr>
      <w:r>
        <w:rPr>
          <w:rFonts w:cs="宋体" w:asciiTheme="minorEastAsia" w:hAnsiTheme="minorEastAsia" w:eastAsiaTheme="minorEastAsia"/>
          <w:bCs/>
        </w:rPr>
        <w:t>4.有依法缴纳税收和社会保障资金的良好记录;</w:t>
      </w:r>
    </w:p>
    <w:p w14:paraId="34F5A132">
      <w:pPr>
        <w:pStyle w:val="45"/>
        <w:ind w:firstLine="960"/>
        <w:rPr>
          <w:rFonts w:cs="宋体" w:asciiTheme="minorEastAsia" w:hAnsiTheme="minorEastAsia" w:eastAsiaTheme="minorEastAsia"/>
          <w:bCs/>
        </w:rPr>
      </w:pPr>
      <w:r>
        <w:rPr>
          <w:rFonts w:cs="宋体" w:asciiTheme="minorEastAsia" w:hAnsiTheme="minorEastAsia" w:eastAsiaTheme="minorEastAsia"/>
          <w:bCs/>
        </w:rPr>
        <w:t>5.参加政府采购活动前三年内，在经营活动中没有重大违法记录；</w:t>
      </w:r>
    </w:p>
    <w:p w14:paraId="4E35D022">
      <w:pPr>
        <w:pStyle w:val="45"/>
        <w:ind w:firstLine="960"/>
        <w:rPr>
          <w:rFonts w:cs="宋体" w:asciiTheme="minorEastAsia" w:hAnsiTheme="minorEastAsia" w:eastAsiaTheme="minorEastAsia"/>
          <w:bCs/>
        </w:rPr>
      </w:pPr>
      <w:r>
        <w:rPr>
          <w:rFonts w:cs="宋体" w:asciiTheme="minorEastAsia" w:hAnsiTheme="minorEastAsia" w:eastAsiaTheme="minorEastAsia"/>
          <w:bCs/>
        </w:rPr>
        <w:t>6.法律、行政法规规定的其他条件。</w:t>
      </w:r>
    </w:p>
    <w:p w14:paraId="017E9873">
      <w:pPr>
        <w:pStyle w:val="45"/>
        <w:ind w:firstLine="480"/>
        <w:rPr>
          <w:rFonts w:cs="宋体" w:asciiTheme="minorEastAsia" w:hAnsiTheme="minorEastAsia" w:eastAsiaTheme="minorEastAsia"/>
          <w:bCs/>
        </w:rPr>
      </w:pPr>
      <w:r>
        <w:rPr>
          <w:rFonts w:cs="宋体" w:asciiTheme="minorEastAsia" w:hAnsiTheme="minorEastAsia" w:eastAsiaTheme="minorEastAsia"/>
          <w:bCs/>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70AB1D0F">
      <w:pPr>
        <w:pStyle w:val="45"/>
        <w:ind w:firstLine="480"/>
        <w:rPr>
          <w:rFonts w:cs="宋体" w:asciiTheme="minorEastAsia" w:hAnsiTheme="minorEastAsia" w:eastAsiaTheme="minorEastAsia"/>
          <w:bCs/>
        </w:rPr>
      </w:pPr>
      <w:r>
        <w:rPr>
          <w:rFonts w:cs="宋体" w:asciiTheme="minorEastAsia" w:hAnsiTheme="minorEastAsia" w:eastAsiaTheme="minorEastAsia"/>
          <w:bCs/>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6F86CBDF">
      <w:pPr>
        <w:pStyle w:val="45"/>
        <w:ind w:firstLine="480"/>
        <w:jc w:val="right"/>
        <w:rPr>
          <w:rFonts w:cs="宋体" w:asciiTheme="minorEastAsia" w:hAnsiTheme="minorEastAsia" w:eastAsiaTheme="minorEastAsia"/>
          <w:bCs/>
        </w:rPr>
      </w:pPr>
      <w:r>
        <w:rPr>
          <w:rFonts w:cs="宋体" w:asciiTheme="minorEastAsia" w:hAnsiTheme="minorEastAsia" w:eastAsiaTheme="minorEastAsia"/>
          <w:bCs/>
        </w:rPr>
        <w:t>供应商：名称(单位公章):</w:t>
      </w:r>
    </w:p>
    <w:p w14:paraId="21482652">
      <w:pPr>
        <w:pStyle w:val="45"/>
        <w:ind w:firstLine="480"/>
        <w:jc w:val="right"/>
        <w:rPr>
          <w:rFonts w:cs="宋体" w:asciiTheme="minorEastAsia" w:hAnsiTheme="minorEastAsia" w:eastAsiaTheme="minorEastAsia"/>
          <w:bCs/>
        </w:rPr>
      </w:pPr>
      <w:r>
        <w:rPr>
          <w:rFonts w:cs="宋体" w:asciiTheme="minorEastAsia" w:hAnsiTheme="minorEastAsia" w:eastAsiaTheme="minorEastAsia"/>
          <w:bCs/>
        </w:rPr>
        <w:t>日期：　　年　　月　　日</w:t>
      </w:r>
    </w:p>
    <w:p w14:paraId="67F2D873">
      <w:pPr>
        <w:pStyle w:val="45"/>
        <w:ind w:firstLine="480"/>
        <w:rPr>
          <w:rFonts w:cs="宋体" w:asciiTheme="minorEastAsia" w:hAnsiTheme="minorEastAsia" w:eastAsiaTheme="minorEastAsia"/>
          <w:bCs/>
        </w:rPr>
      </w:pPr>
      <w:r>
        <w:rPr>
          <w:rFonts w:cs="宋体" w:asciiTheme="minorEastAsia" w:hAnsiTheme="minorEastAsia" w:eastAsiaTheme="minorEastAsia"/>
          <w:bCs/>
        </w:rPr>
        <w:t>注：</w:t>
      </w:r>
    </w:p>
    <w:p w14:paraId="6A66AA9D">
      <w:pPr>
        <w:pStyle w:val="45"/>
        <w:ind w:firstLine="960"/>
        <w:rPr>
          <w:rFonts w:cs="宋体" w:asciiTheme="minorEastAsia" w:hAnsiTheme="minorEastAsia" w:eastAsiaTheme="minorEastAsia"/>
          <w:bCs/>
        </w:rPr>
      </w:pPr>
      <w:r>
        <w:rPr>
          <w:rFonts w:cs="宋体" w:asciiTheme="minorEastAsia" w:hAnsiTheme="minorEastAsia" w:eastAsiaTheme="minorEastAsia"/>
          <w:bCs/>
        </w:rPr>
        <w:t>1.我单位(本人)专指参加政府采购活动的供应商(含自然人)；</w:t>
      </w:r>
    </w:p>
    <w:p w14:paraId="7FAC2605">
      <w:pPr>
        <w:pStyle w:val="45"/>
        <w:ind w:firstLine="960"/>
        <w:rPr>
          <w:rFonts w:cs="宋体" w:asciiTheme="minorEastAsia" w:hAnsiTheme="minorEastAsia" w:eastAsiaTheme="minorEastAsia"/>
          <w:bCs/>
        </w:rPr>
      </w:pPr>
      <w:r>
        <w:rPr>
          <w:rFonts w:cs="宋体" w:asciiTheme="minorEastAsia" w:hAnsiTheme="minorEastAsia" w:eastAsiaTheme="minorEastAsia"/>
          <w:bCs/>
        </w:rPr>
        <w:t>2.资格承诺的供应商应在投标(响应)文件中按此模板提供承诺函，否则，视为未按照招标文件规定提交投标人的资格及资信文件，按资格审查不通过处理。</w:t>
      </w:r>
    </w:p>
    <w:p w14:paraId="4412FF53">
      <w:pPr>
        <w:spacing w:line="380" w:lineRule="exact"/>
        <w:rPr>
          <w:rFonts w:hint="eastAsia" w:asciiTheme="minorEastAsia" w:hAnsiTheme="minorEastAsia" w:eastAsiaTheme="minorEastAsia"/>
          <w:sz w:val="28"/>
          <w:szCs w:val="28"/>
        </w:rPr>
      </w:pPr>
    </w:p>
    <w:p w14:paraId="6499E7C3">
      <w:pPr>
        <w:spacing w:line="380" w:lineRule="exact"/>
        <w:ind w:firstLine="560" w:firstLineChars="200"/>
        <w:rPr>
          <w:rFonts w:hint="eastAsia" w:asciiTheme="minorEastAsia" w:hAnsiTheme="minorEastAsia" w:eastAsiaTheme="minorEastAsia"/>
          <w:sz w:val="28"/>
          <w:szCs w:val="28"/>
        </w:rPr>
      </w:pPr>
    </w:p>
    <w:p w14:paraId="079D3AA6">
      <w:pPr>
        <w:adjustRightInd/>
        <w:snapToGrid/>
        <w:spacing w:after="0"/>
        <w:rPr>
          <w:rFonts w:hint="eastAsia" w:asciiTheme="minorEastAsia" w:hAnsiTheme="minorEastAsia" w:eastAsiaTheme="minorEastAsia"/>
          <w:b/>
          <w:sz w:val="30"/>
          <w:szCs w:val="30"/>
        </w:rPr>
      </w:pPr>
      <w:r>
        <w:rPr>
          <w:rFonts w:hint="eastAsia" w:asciiTheme="minorEastAsia" w:hAnsiTheme="minorEastAsia" w:eastAsiaTheme="minorEastAsia"/>
          <w:b/>
          <w:sz w:val="30"/>
          <w:szCs w:val="30"/>
        </w:rPr>
        <w:br w:type="page"/>
      </w:r>
    </w:p>
    <w:p w14:paraId="7F5D0B03">
      <w:pPr>
        <w:tabs>
          <w:tab w:val="left" w:pos="1600"/>
        </w:tabs>
        <w:spacing w:line="560" w:lineRule="exact"/>
        <w:ind w:left="330" w:firstLine="240"/>
        <w:jc w:val="center"/>
        <w:rPr>
          <w:rFonts w:hint="eastAsia" w:asciiTheme="minorEastAsia" w:hAnsiTheme="minorEastAsia" w:eastAsiaTheme="minorEastAsia"/>
          <w:b/>
          <w:sz w:val="30"/>
          <w:szCs w:val="30"/>
        </w:rPr>
      </w:pPr>
      <w:r>
        <w:rPr>
          <w:rFonts w:hint="eastAsia" w:asciiTheme="minorEastAsia" w:hAnsiTheme="minorEastAsia" w:eastAsiaTheme="minorEastAsia"/>
          <w:b/>
          <w:sz w:val="30"/>
          <w:szCs w:val="30"/>
        </w:rPr>
        <w:t>五、投标人提交的其它材料</w:t>
      </w:r>
    </w:p>
    <w:sectPr>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54329">
    <w:pPr>
      <w:rPr>
        <w:rFonts w:ascii="Times New Roman" w:hAnsi="Times New Roman" w:eastAsia="宋体"/>
        <w:sz w:val="18"/>
        <w:szCs w:val="18"/>
      </w:rPr>
    </w:pPr>
    <w:r>
      <w:rPr>
        <w:rFonts w:ascii="Times New Roman" w:hAnsi="Times New Roman" w:eastAsia="宋体"/>
        <w:sz w:val="18"/>
        <w:szCs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258445"/>
              <wp:effectExtent l="0" t="0" r="0" b="0"/>
              <wp:wrapNone/>
              <wp:docPr id="1" name="文本框 2"/>
              <wp:cNvGraphicFramePr/>
              <a:graphic xmlns:a="http://schemas.openxmlformats.org/drawingml/2006/main">
                <a:graphicData uri="http://schemas.microsoft.com/office/word/2010/wordprocessingShape">
                  <wps:wsp>
                    <wps:cNvSpPr txBox="1"/>
                    <wps:spPr>
                      <a:xfrm>
                        <a:off x="0" y="0"/>
                        <a:ext cx="57785" cy="258445"/>
                      </a:xfrm>
                      <a:prstGeom prst="rect">
                        <a:avLst/>
                      </a:prstGeom>
                      <a:noFill/>
                      <a:ln w="15875">
                        <a:noFill/>
                      </a:ln>
                    </wps:spPr>
                    <wps:txbx>
                      <w:txbxContent>
                        <w:p w14:paraId="021D1C72">
                          <w:pPr>
                            <w:rPr>
                              <w:rFonts w:ascii="Times New Roman" w:hAnsi="Times New Roman" w:eastAsia="宋体"/>
                              <w:sz w:val="18"/>
                              <w:szCs w:val="18"/>
                            </w:rPr>
                          </w:pPr>
                          <w:r>
                            <w:rPr>
                              <w:rFonts w:ascii="Times New Roman" w:hAnsi="Times New Roman" w:eastAsia="宋体"/>
                              <w:sz w:val="18"/>
                              <w:szCs w:val="18"/>
                            </w:rPr>
                            <w:fldChar w:fldCharType="begin"/>
                          </w:r>
                          <w:r>
                            <w:rPr>
                              <w:rFonts w:ascii="Times New Roman" w:hAnsi="Times New Roman" w:eastAsia="宋体"/>
                              <w:kern w:val="2"/>
                              <w:sz w:val="18"/>
                              <w:szCs w:val="18"/>
                            </w:rPr>
                            <w:instrText xml:space="preserve"> PAGE  \* MERGEFORMAT </w:instrText>
                          </w:r>
                          <w:r>
                            <w:rPr>
                              <w:rFonts w:ascii="Times New Roman" w:hAnsi="Times New Roman" w:eastAsia="宋体"/>
                              <w:sz w:val="18"/>
                              <w:szCs w:val="18"/>
                            </w:rPr>
                            <w:fldChar w:fldCharType="separate"/>
                          </w:r>
                          <w:r>
                            <w:rPr>
                              <w:rFonts w:ascii="Times New Roman" w:hAnsi="Times New Roman" w:eastAsia="宋体"/>
                              <w:sz w:val="18"/>
                              <w:szCs w:val="18"/>
                            </w:rPr>
                            <w:t>33</w:t>
                          </w:r>
                          <w:r>
                            <w:rPr>
                              <w:rFonts w:ascii="Times New Roman" w:hAnsi="Times New Roman" w:eastAsia="宋体"/>
                              <w:sz w:val="18"/>
                              <w:szCs w:val="18"/>
                            </w:rPr>
                            <w:fldChar w:fldCharType="end"/>
                          </w:r>
                        </w:p>
                      </w:txbxContent>
                    </wps:txbx>
                    <wps:bodyPr wrap="none" lIns="0" tIns="0" rIns="0" bIns="0">
                      <a:spAutoFit/>
                    </wps:bodyPr>
                  </wps:wsp>
                </a:graphicData>
              </a:graphic>
            </wp:anchor>
          </w:drawing>
        </mc:Choice>
        <mc:Fallback>
          <w:pict>
            <v:shape id="文本框 2" o:spid="_x0000_s1026" o:spt="202" type="#_x0000_t202" style="position:absolute;left:0pt;margin-top:0pt;height:20.35pt;width:4.55pt;mso-position-horizontal:center;mso-position-horizontal-relative:margin;mso-wrap-style:none;z-index:251659264;mso-width-relative:page;mso-height-relative:page;" filled="f" stroked="f" coordsize="21600,21600" o:gfxdata="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6CykH1AAAAAIBAAAPAAAAAAAAAAEAIAAAACIAAABkcnMv&#10;ZG93bnJldi54bWxQSwECFAAUAAAACACHTuJACAbuzM4BAACUAwAADgAAAAAAAAABACAAAAAjAQAA&#10;ZHJzL2Uyb0RvYy54bWxQSwUGAAAAAAYABgBZAQAAYwUAAAAA&#10;">
              <v:fill on="f" focussize="0,0"/>
              <v:stroke on="f" weight="1.25pt"/>
              <v:imagedata o:title=""/>
              <o:lock v:ext="edit" aspectratio="f"/>
              <v:textbox inset="0mm,0mm,0mm,0mm" style="mso-fit-shape-to-text:t;">
                <w:txbxContent>
                  <w:p w14:paraId="021D1C72">
                    <w:pPr>
                      <w:rPr>
                        <w:rFonts w:ascii="Times New Roman" w:hAnsi="Times New Roman" w:eastAsia="宋体"/>
                        <w:sz w:val="18"/>
                        <w:szCs w:val="18"/>
                      </w:rPr>
                    </w:pPr>
                    <w:r>
                      <w:rPr>
                        <w:rFonts w:ascii="Times New Roman" w:hAnsi="Times New Roman" w:eastAsia="宋体"/>
                        <w:sz w:val="18"/>
                        <w:szCs w:val="18"/>
                      </w:rPr>
                      <w:fldChar w:fldCharType="begin"/>
                    </w:r>
                    <w:r>
                      <w:rPr>
                        <w:rFonts w:ascii="Times New Roman" w:hAnsi="Times New Roman" w:eastAsia="宋体"/>
                        <w:kern w:val="2"/>
                        <w:sz w:val="18"/>
                        <w:szCs w:val="18"/>
                      </w:rPr>
                      <w:instrText xml:space="preserve"> PAGE  \* MERGEFORMAT </w:instrText>
                    </w:r>
                    <w:r>
                      <w:rPr>
                        <w:rFonts w:ascii="Times New Roman" w:hAnsi="Times New Roman" w:eastAsia="宋体"/>
                        <w:sz w:val="18"/>
                        <w:szCs w:val="18"/>
                      </w:rPr>
                      <w:fldChar w:fldCharType="separate"/>
                    </w:r>
                    <w:r>
                      <w:rPr>
                        <w:rFonts w:ascii="Times New Roman" w:hAnsi="Times New Roman" w:eastAsia="宋体"/>
                        <w:sz w:val="18"/>
                        <w:szCs w:val="18"/>
                      </w:rPr>
                      <w:t>33</w:t>
                    </w:r>
                    <w:r>
                      <w:rPr>
                        <w:rFonts w:ascii="Times New Roman" w:hAnsi="Times New Roman" w:eastAsia="宋体"/>
                        <w:sz w:val="18"/>
                        <w:szCs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050130"/>
    <w:multiLevelType w:val="multilevel"/>
    <w:tmpl w:val="46050130"/>
    <w:lvl w:ilvl="0" w:tentative="0">
      <w:start w:val="1"/>
      <w:numFmt w:val="decimal"/>
      <w:lvlText w:val="%1."/>
      <w:lvlJc w:val="left"/>
      <w:pPr>
        <w:ind w:left="704"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6A3D01F7"/>
    <w:multiLevelType w:val="multilevel"/>
    <w:tmpl w:val="6A3D01F7"/>
    <w:lvl w:ilvl="0" w:tentative="0">
      <w:start w:val="1"/>
      <w:numFmt w:val="decimal"/>
      <w:lvlText w:val="%1."/>
      <w:lvlJc w:val="left"/>
      <w:pPr>
        <w:ind w:left="810" w:hanging="420"/>
      </w:pPr>
    </w:lvl>
    <w:lvl w:ilvl="1" w:tentative="0">
      <w:start w:val="1"/>
      <w:numFmt w:val="lowerLetter"/>
      <w:lvlText w:val="%2)"/>
      <w:lvlJc w:val="left"/>
      <w:pPr>
        <w:ind w:left="1230" w:hanging="420"/>
      </w:pPr>
    </w:lvl>
    <w:lvl w:ilvl="2" w:tentative="0">
      <w:start w:val="1"/>
      <w:numFmt w:val="lowerRoman"/>
      <w:lvlText w:val="%3."/>
      <w:lvlJc w:val="right"/>
      <w:pPr>
        <w:ind w:left="1650" w:hanging="420"/>
      </w:pPr>
    </w:lvl>
    <w:lvl w:ilvl="3" w:tentative="0">
      <w:start w:val="1"/>
      <w:numFmt w:val="decimal"/>
      <w:lvlText w:val="%4."/>
      <w:lvlJc w:val="left"/>
      <w:pPr>
        <w:ind w:left="2070" w:hanging="420"/>
      </w:pPr>
    </w:lvl>
    <w:lvl w:ilvl="4" w:tentative="0">
      <w:start w:val="1"/>
      <w:numFmt w:val="lowerLetter"/>
      <w:lvlText w:val="%5)"/>
      <w:lvlJc w:val="left"/>
      <w:pPr>
        <w:ind w:left="2490" w:hanging="420"/>
      </w:pPr>
    </w:lvl>
    <w:lvl w:ilvl="5" w:tentative="0">
      <w:start w:val="1"/>
      <w:numFmt w:val="lowerRoman"/>
      <w:lvlText w:val="%6."/>
      <w:lvlJc w:val="right"/>
      <w:pPr>
        <w:ind w:left="2910" w:hanging="420"/>
      </w:pPr>
    </w:lvl>
    <w:lvl w:ilvl="6" w:tentative="0">
      <w:start w:val="1"/>
      <w:numFmt w:val="decimal"/>
      <w:lvlText w:val="%7."/>
      <w:lvlJc w:val="left"/>
      <w:pPr>
        <w:ind w:left="3330" w:hanging="420"/>
      </w:pPr>
    </w:lvl>
    <w:lvl w:ilvl="7" w:tentative="0">
      <w:start w:val="1"/>
      <w:numFmt w:val="lowerLetter"/>
      <w:lvlText w:val="%8)"/>
      <w:lvlJc w:val="left"/>
      <w:pPr>
        <w:ind w:left="3750" w:hanging="420"/>
      </w:pPr>
    </w:lvl>
    <w:lvl w:ilvl="8" w:tentative="0">
      <w:start w:val="1"/>
      <w:numFmt w:val="lowerRoman"/>
      <w:lvlText w:val="%9."/>
      <w:lvlJc w:val="right"/>
      <w:pPr>
        <w:ind w:left="417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189"/>
    <w:rsid w:val="00013AC5"/>
    <w:rsid w:val="000320C1"/>
    <w:rsid w:val="0005172A"/>
    <w:rsid w:val="00065CB7"/>
    <w:rsid w:val="00072841"/>
    <w:rsid w:val="00092AEB"/>
    <w:rsid w:val="000B3136"/>
    <w:rsid w:val="000B7CA6"/>
    <w:rsid w:val="000D6BDF"/>
    <w:rsid w:val="001B5C27"/>
    <w:rsid w:val="001B6716"/>
    <w:rsid w:val="001E3D39"/>
    <w:rsid w:val="001F51BB"/>
    <w:rsid w:val="0021062C"/>
    <w:rsid w:val="00211344"/>
    <w:rsid w:val="00225DC2"/>
    <w:rsid w:val="00330428"/>
    <w:rsid w:val="00336AC4"/>
    <w:rsid w:val="0036389C"/>
    <w:rsid w:val="003922F0"/>
    <w:rsid w:val="003A6874"/>
    <w:rsid w:val="003A7B36"/>
    <w:rsid w:val="003E144E"/>
    <w:rsid w:val="003F3649"/>
    <w:rsid w:val="003F5A88"/>
    <w:rsid w:val="004016DF"/>
    <w:rsid w:val="00416AAC"/>
    <w:rsid w:val="00446A47"/>
    <w:rsid w:val="0046656A"/>
    <w:rsid w:val="004A2659"/>
    <w:rsid w:val="004C23E5"/>
    <w:rsid w:val="00502F57"/>
    <w:rsid w:val="00565257"/>
    <w:rsid w:val="0059776B"/>
    <w:rsid w:val="005F00CE"/>
    <w:rsid w:val="0060707B"/>
    <w:rsid w:val="00607468"/>
    <w:rsid w:val="006464A9"/>
    <w:rsid w:val="00690C13"/>
    <w:rsid w:val="006B0872"/>
    <w:rsid w:val="006F3981"/>
    <w:rsid w:val="00740DD3"/>
    <w:rsid w:val="00761396"/>
    <w:rsid w:val="00797D47"/>
    <w:rsid w:val="007B2333"/>
    <w:rsid w:val="007C3AA7"/>
    <w:rsid w:val="007C76F4"/>
    <w:rsid w:val="00806F36"/>
    <w:rsid w:val="00810453"/>
    <w:rsid w:val="00857633"/>
    <w:rsid w:val="0088152F"/>
    <w:rsid w:val="00885C59"/>
    <w:rsid w:val="008B2DC2"/>
    <w:rsid w:val="008E5D2A"/>
    <w:rsid w:val="009339AC"/>
    <w:rsid w:val="0093412E"/>
    <w:rsid w:val="009341D8"/>
    <w:rsid w:val="00947491"/>
    <w:rsid w:val="00960B8D"/>
    <w:rsid w:val="009636DE"/>
    <w:rsid w:val="009B2E41"/>
    <w:rsid w:val="009C77EE"/>
    <w:rsid w:val="00A16AD3"/>
    <w:rsid w:val="00A41555"/>
    <w:rsid w:val="00A41C1C"/>
    <w:rsid w:val="00A75611"/>
    <w:rsid w:val="00A7622D"/>
    <w:rsid w:val="00AA0C87"/>
    <w:rsid w:val="00AB0757"/>
    <w:rsid w:val="00AB0BC2"/>
    <w:rsid w:val="00AE21F5"/>
    <w:rsid w:val="00B25931"/>
    <w:rsid w:val="00B32ADB"/>
    <w:rsid w:val="00B3455A"/>
    <w:rsid w:val="00B35FB2"/>
    <w:rsid w:val="00B463E5"/>
    <w:rsid w:val="00B74E36"/>
    <w:rsid w:val="00BB14F3"/>
    <w:rsid w:val="00C23C58"/>
    <w:rsid w:val="00C951E7"/>
    <w:rsid w:val="00CA0C34"/>
    <w:rsid w:val="00CB3BD4"/>
    <w:rsid w:val="00CE13ED"/>
    <w:rsid w:val="00CF2EAB"/>
    <w:rsid w:val="00D114D7"/>
    <w:rsid w:val="00D42D09"/>
    <w:rsid w:val="00D44F14"/>
    <w:rsid w:val="00D522A1"/>
    <w:rsid w:val="00D9126C"/>
    <w:rsid w:val="00DD38FE"/>
    <w:rsid w:val="00DE52CD"/>
    <w:rsid w:val="00DE6E02"/>
    <w:rsid w:val="00DE7BA8"/>
    <w:rsid w:val="00DF375A"/>
    <w:rsid w:val="00E27523"/>
    <w:rsid w:val="00E360F1"/>
    <w:rsid w:val="00E816F8"/>
    <w:rsid w:val="00E95090"/>
    <w:rsid w:val="00EA0386"/>
    <w:rsid w:val="00EA5D85"/>
    <w:rsid w:val="00EB1D74"/>
    <w:rsid w:val="00EB6196"/>
    <w:rsid w:val="00ED0F5B"/>
    <w:rsid w:val="00EE1F3B"/>
    <w:rsid w:val="00EE2E5A"/>
    <w:rsid w:val="00EF3C6A"/>
    <w:rsid w:val="00F30003"/>
    <w:rsid w:val="00F5251D"/>
    <w:rsid w:val="00F63488"/>
    <w:rsid w:val="00F70354"/>
    <w:rsid w:val="00F71189"/>
    <w:rsid w:val="00FC01C5"/>
    <w:rsid w:val="00FE0D24"/>
    <w:rsid w:val="41F5373C"/>
    <w:rsid w:val="4DA755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imes New Roman"/>
      <w:kern w:val="0"/>
      <w:sz w:val="22"/>
      <w:szCs w:val="22"/>
      <w:lang w:val="en-US" w:eastAsia="zh-CN" w:bidi="ar-SA"/>
      <w14:ligatures w14:val="standardContextual"/>
    </w:rPr>
  </w:style>
  <w:style w:type="paragraph" w:styleId="3">
    <w:name w:val="heading 1"/>
    <w:basedOn w:val="1"/>
    <w:next w:val="1"/>
    <w:link w:val="23"/>
    <w:qFormat/>
    <w:uiPriority w:val="9"/>
    <w:pPr>
      <w:keepNext/>
      <w:keepLines/>
      <w:spacing w:before="480" w:after="80"/>
      <w:outlineLvl w:val="0"/>
    </w:pPr>
    <w:rPr>
      <w:rFonts w:asciiTheme="majorHAnsi" w:hAnsiTheme="majorHAnsi" w:eastAsiaTheme="majorEastAsia" w:cstheme="majorBidi"/>
      <w:color w:val="376092" w:themeColor="accent1" w:themeShade="BF"/>
      <w:sz w:val="48"/>
      <w:szCs w:val="48"/>
    </w:rPr>
  </w:style>
  <w:style w:type="paragraph" w:styleId="4">
    <w:name w:val="heading 2"/>
    <w:basedOn w:val="1"/>
    <w:next w:val="1"/>
    <w:link w:val="24"/>
    <w:semiHidden/>
    <w:unhideWhenUsed/>
    <w:qFormat/>
    <w:uiPriority w:val="9"/>
    <w:pPr>
      <w:keepNext/>
      <w:keepLines/>
      <w:spacing w:before="160" w:after="80"/>
      <w:outlineLvl w:val="1"/>
    </w:pPr>
    <w:rPr>
      <w:rFonts w:asciiTheme="majorHAnsi" w:hAnsiTheme="majorHAnsi" w:eastAsiaTheme="majorEastAsia" w:cstheme="majorBidi"/>
      <w:color w:val="376092" w:themeColor="accent1" w:themeShade="BF"/>
      <w:sz w:val="40"/>
      <w:szCs w:val="40"/>
    </w:rPr>
  </w:style>
  <w:style w:type="paragraph" w:styleId="5">
    <w:name w:val="heading 3"/>
    <w:basedOn w:val="1"/>
    <w:next w:val="1"/>
    <w:link w:val="25"/>
    <w:semiHidden/>
    <w:unhideWhenUsed/>
    <w:qFormat/>
    <w:uiPriority w:val="9"/>
    <w:pPr>
      <w:keepNext/>
      <w:keepLines/>
      <w:spacing w:before="160" w:after="80"/>
      <w:outlineLvl w:val="2"/>
    </w:pPr>
    <w:rPr>
      <w:rFonts w:asciiTheme="majorHAnsi" w:hAnsiTheme="majorHAnsi" w:eastAsiaTheme="majorEastAsia" w:cstheme="majorBidi"/>
      <w:color w:val="376092" w:themeColor="accent1" w:themeShade="BF"/>
      <w:sz w:val="32"/>
      <w:szCs w:val="32"/>
    </w:rPr>
  </w:style>
  <w:style w:type="paragraph" w:styleId="6">
    <w:name w:val="heading 4"/>
    <w:basedOn w:val="1"/>
    <w:next w:val="1"/>
    <w:link w:val="26"/>
    <w:semiHidden/>
    <w:unhideWhenUsed/>
    <w:qFormat/>
    <w:uiPriority w:val="9"/>
    <w:pPr>
      <w:keepNext/>
      <w:keepLines/>
      <w:spacing w:before="80" w:after="40"/>
      <w:outlineLvl w:val="3"/>
    </w:pPr>
    <w:rPr>
      <w:rFonts w:cstheme="majorBidi"/>
      <w:color w:val="376092" w:themeColor="accent1" w:themeShade="BF"/>
      <w:sz w:val="28"/>
      <w:szCs w:val="28"/>
    </w:rPr>
  </w:style>
  <w:style w:type="paragraph" w:styleId="7">
    <w:name w:val="heading 5"/>
    <w:basedOn w:val="1"/>
    <w:next w:val="1"/>
    <w:link w:val="27"/>
    <w:semiHidden/>
    <w:unhideWhenUsed/>
    <w:qFormat/>
    <w:uiPriority w:val="9"/>
    <w:pPr>
      <w:keepNext/>
      <w:keepLines/>
      <w:spacing w:before="80" w:after="40"/>
      <w:outlineLvl w:val="4"/>
    </w:pPr>
    <w:rPr>
      <w:rFonts w:cstheme="majorBidi"/>
      <w:color w:val="376092" w:themeColor="accent1" w:themeShade="BF"/>
      <w:sz w:val="24"/>
      <w:szCs w:val="24"/>
    </w:rPr>
  </w:style>
  <w:style w:type="paragraph" w:styleId="8">
    <w:name w:val="heading 6"/>
    <w:basedOn w:val="1"/>
    <w:next w:val="1"/>
    <w:link w:val="28"/>
    <w:semiHidden/>
    <w:unhideWhenUsed/>
    <w:qFormat/>
    <w:uiPriority w:val="9"/>
    <w:pPr>
      <w:keepNext/>
      <w:keepLines/>
      <w:spacing w:before="40"/>
      <w:outlineLvl w:val="5"/>
    </w:pPr>
    <w:rPr>
      <w:rFonts w:cstheme="majorBidi"/>
      <w:b/>
      <w:bCs/>
      <w:color w:val="376092" w:themeColor="accent1" w:themeShade="BF"/>
    </w:rPr>
  </w:style>
  <w:style w:type="paragraph" w:styleId="9">
    <w:name w:val="heading 7"/>
    <w:basedOn w:val="1"/>
    <w:next w:val="1"/>
    <w:link w:val="29"/>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10">
    <w:name w:val="heading 8"/>
    <w:basedOn w:val="1"/>
    <w:next w:val="1"/>
    <w:link w:val="30"/>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1">
    <w:name w:val="heading 9"/>
    <w:basedOn w:val="1"/>
    <w:next w:val="1"/>
    <w:link w:val="31"/>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1">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47"/>
    <w:semiHidden/>
    <w:unhideWhenUsed/>
    <w:uiPriority w:val="99"/>
    <w:pPr>
      <w:spacing w:after="120"/>
    </w:pPr>
  </w:style>
  <w:style w:type="paragraph" w:styleId="12">
    <w:name w:val="Normal Indent"/>
    <w:basedOn w:val="1"/>
    <w:link w:val="46"/>
    <w:qFormat/>
    <w:uiPriority w:val="0"/>
    <w:pPr>
      <w:adjustRightInd/>
      <w:snapToGrid/>
      <w:spacing w:after="0"/>
      <w:ind w:firstLine="420"/>
    </w:pPr>
    <w:rPr>
      <w:rFonts w:ascii="Times New Roman" w:hAnsi="Times New Roman" w:eastAsia="宋体"/>
      <w:sz w:val="20"/>
      <w:szCs w:val="20"/>
    </w:rPr>
  </w:style>
  <w:style w:type="paragraph" w:styleId="13">
    <w:name w:val="footer"/>
    <w:basedOn w:val="1"/>
    <w:link w:val="42"/>
    <w:unhideWhenUsed/>
    <w:qFormat/>
    <w:uiPriority w:val="99"/>
    <w:pPr>
      <w:tabs>
        <w:tab w:val="center" w:pos="4153"/>
        <w:tab w:val="right" w:pos="8306"/>
      </w:tabs>
    </w:pPr>
    <w:rPr>
      <w:sz w:val="18"/>
      <w:szCs w:val="18"/>
    </w:rPr>
  </w:style>
  <w:style w:type="paragraph" w:styleId="14">
    <w:name w:val="header"/>
    <w:basedOn w:val="1"/>
    <w:link w:val="41"/>
    <w:unhideWhenUsed/>
    <w:qFormat/>
    <w:uiPriority w:val="99"/>
    <w:pPr>
      <w:tabs>
        <w:tab w:val="center" w:pos="4153"/>
        <w:tab w:val="right" w:pos="8306"/>
      </w:tabs>
      <w:jc w:val="center"/>
    </w:pPr>
    <w:rPr>
      <w:sz w:val="18"/>
      <w:szCs w:val="18"/>
    </w:rPr>
  </w:style>
  <w:style w:type="paragraph" w:styleId="15">
    <w:name w:val="Subtitle"/>
    <w:basedOn w:val="1"/>
    <w:next w:val="1"/>
    <w:link w:val="33"/>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6">
    <w:name w:val="Body Text 2"/>
    <w:basedOn w:val="1"/>
    <w:link w:val="43"/>
    <w:qFormat/>
    <w:uiPriority w:val="0"/>
    <w:pPr>
      <w:spacing w:after="120" w:line="480" w:lineRule="auto"/>
    </w:pPr>
  </w:style>
  <w:style w:type="paragraph" w:styleId="17">
    <w:name w:val="HTML Preformatted"/>
    <w:basedOn w:val="1"/>
    <w:link w:val="44"/>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after="0"/>
    </w:pPr>
    <w:rPr>
      <w:rFonts w:ascii="宋体" w:hAnsi="宋体" w:eastAsia="宋体"/>
      <w:sz w:val="24"/>
      <w:szCs w:val="24"/>
    </w:rPr>
  </w:style>
  <w:style w:type="paragraph" w:styleId="18">
    <w:name w:val="Normal (Web)"/>
    <w:basedOn w:val="1"/>
    <w:unhideWhenUsed/>
    <w:qFormat/>
    <w:uiPriority w:val="99"/>
    <w:pPr>
      <w:spacing w:before="100" w:beforeAutospacing="1" w:after="100" w:afterAutospacing="1"/>
    </w:pPr>
    <w:rPr>
      <w:sz w:val="24"/>
    </w:rPr>
  </w:style>
  <w:style w:type="paragraph" w:styleId="19">
    <w:name w:val="Title"/>
    <w:basedOn w:val="1"/>
    <w:next w:val="1"/>
    <w:link w:val="32"/>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styleId="22">
    <w:name w:val="Hyperlink"/>
    <w:basedOn w:val="21"/>
    <w:qFormat/>
    <w:uiPriority w:val="0"/>
    <w:rPr>
      <w:color w:val="0000FF" w:themeColor="hyperlink"/>
      <w:u w:val="single"/>
      <w14:textFill>
        <w14:solidFill>
          <w14:schemeClr w14:val="hlink"/>
        </w14:solidFill>
      </w14:textFill>
    </w:rPr>
  </w:style>
  <w:style w:type="character" w:customStyle="1" w:styleId="23">
    <w:name w:val="标题 1 字符"/>
    <w:basedOn w:val="21"/>
    <w:link w:val="3"/>
    <w:qFormat/>
    <w:uiPriority w:val="9"/>
    <w:rPr>
      <w:rFonts w:asciiTheme="majorHAnsi" w:hAnsiTheme="majorHAnsi" w:eastAsiaTheme="majorEastAsia" w:cstheme="majorBidi"/>
      <w:color w:val="376092" w:themeColor="accent1" w:themeShade="BF"/>
      <w:sz w:val="48"/>
      <w:szCs w:val="48"/>
    </w:rPr>
  </w:style>
  <w:style w:type="character" w:customStyle="1" w:styleId="24">
    <w:name w:val="标题 2 字符"/>
    <w:basedOn w:val="21"/>
    <w:link w:val="4"/>
    <w:semiHidden/>
    <w:qFormat/>
    <w:uiPriority w:val="9"/>
    <w:rPr>
      <w:rFonts w:asciiTheme="majorHAnsi" w:hAnsiTheme="majorHAnsi" w:eastAsiaTheme="majorEastAsia" w:cstheme="majorBidi"/>
      <w:color w:val="376092" w:themeColor="accent1" w:themeShade="BF"/>
      <w:sz w:val="40"/>
      <w:szCs w:val="40"/>
    </w:rPr>
  </w:style>
  <w:style w:type="character" w:customStyle="1" w:styleId="25">
    <w:name w:val="标题 3 字符"/>
    <w:basedOn w:val="21"/>
    <w:link w:val="5"/>
    <w:semiHidden/>
    <w:qFormat/>
    <w:uiPriority w:val="9"/>
    <w:rPr>
      <w:rFonts w:asciiTheme="majorHAnsi" w:hAnsiTheme="majorHAnsi" w:eastAsiaTheme="majorEastAsia" w:cstheme="majorBidi"/>
      <w:color w:val="376092" w:themeColor="accent1" w:themeShade="BF"/>
      <w:sz w:val="32"/>
      <w:szCs w:val="32"/>
    </w:rPr>
  </w:style>
  <w:style w:type="character" w:customStyle="1" w:styleId="26">
    <w:name w:val="标题 4 字符"/>
    <w:basedOn w:val="21"/>
    <w:link w:val="6"/>
    <w:semiHidden/>
    <w:qFormat/>
    <w:uiPriority w:val="9"/>
    <w:rPr>
      <w:rFonts w:cstheme="majorBidi"/>
      <w:color w:val="376092" w:themeColor="accent1" w:themeShade="BF"/>
      <w:sz w:val="28"/>
      <w:szCs w:val="28"/>
    </w:rPr>
  </w:style>
  <w:style w:type="character" w:customStyle="1" w:styleId="27">
    <w:name w:val="标题 5 字符"/>
    <w:basedOn w:val="21"/>
    <w:link w:val="7"/>
    <w:semiHidden/>
    <w:qFormat/>
    <w:uiPriority w:val="9"/>
    <w:rPr>
      <w:rFonts w:cstheme="majorBidi"/>
      <w:color w:val="376092" w:themeColor="accent1" w:themeShade="BF"/>
      <w:sz w:val="24"/>
      <w:szCs w:val="24"/>
    </w:rPr>
  </w:style>
  <w:style w:type="character" w:customStyle="1" w:styleId="28">
    <w:name w:val="标题 6 字符"/>
    <w:basedOn w:val="21"/>
    <w:link w:val="8"/>
    <w:semiHidden/>
    <w:qFormat/>
    <w:uiPriority w:val="9"/>
    <w:rPr>
      <w:rFonts w:cstheme="majorBidi"/>
      <w:b/>
      <w:bCs/>
      <w:color w:val="376092" w:themeColor="accent1" w:themeShade="BF"/>
    </w:rPr>
  </w:style>
  <w:style w:type="character" w:customStyle="1" w:styleId="29">
    <w:name w:val="标题 7 字符"/>
    <w:basedOn w:val="21"/>
    <w:link w:val="9"/>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0">
    <w:name w:val="标题 8 字符"/>
    <w:basedOn w:val="21"/>
    <w:link w:val="10"/>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1">
    <w:name w:val="标题 9 字符"/>
    <w:basedOn w:val="21"/>
    <w:link w:val="11"/>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2">
    <w:name w:val="标题 字符"/>
    <w:basedOn w:val="21"/>
    <w:link w:val="19"/>
    <w:qFormat/>
    <w:uiPriority w:val="10"/>
    <w:rPr>
      <w:rFonts w:asciiTheme="majorHAnsi" w:hAnsiTheme="majorHAnsi" w:eastAsiaTheme="majorEastAsia" w:cstheme="majorBidi"/>
      <w:spacing w:val="-10"/>
      <w:kern w:val="28"/>
      <w:sz w:val="56"/>
      <w:szCs w:val="56"/>
    </w:rPr>
  </w:style>
  <w:style w:type="character" w:customStyle="1" w:styleId="33">
    <w:name w:val="副标题 字符"/>
    <w:basedOn w:val="21"/>
    <w:link w:val="15"/>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4">
    <w:name w:val="Quote"/>
    <w:basedOn w:val="1"/>
    <w:next w:val="1"/>
    <w:link w:val="35"/>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5">
    <w:name w:val="引用 字符"/>
    <w:basedOn w:val="21"/>
    <w:link w:val="34"/>
    <w:qFormat/>
    <w:uiPriority w:val="29"/>
    <w:rPr>
      <w:i/>
      <w:iCs/>
      <w:color w:val="404040" w:themeColor="text1" w:themeTint="BF"/>
      <w14:textFill>
        <w14:solidFill>
          <w14:schemeClr w14:val="tx1">
            <w14:lumMod w14:val="75000"/>
            <w14:lumOff w14:val="25000"/>
          </w14:schemeClr>
        </w14:solidFill>
      </w14:textFill>
    </w:rPr>
  </w:style>
  <w:style w:type="paragraph" w:styleId="36">
    <w:name w:val="List Paragraph"/>
    <w:basedOn w:val="1"/>
    <w:qFormat/>
    <w:uiPriority w:val="99"/>
    <w:pPr>
      <w:ind w:left="720"/>
      <w:contextualSpacing/>
    </w:pPr>
  </w:style>
  <w:style w:type="character" w:customStyle="1" w:styleId="37">
    <w:name w:val="Intense Emphasis"/>
    <w:basedOn w:val="21"/>
    <w:qFormat/>
    <w:uiPriority w:val="21"/>
    <w:rPr>
      <w:i/>
      <w:iCs/>
      <w:color w:val="376092" w:themeColor="accent1" w:themeShade="BF"/>
    </w:rPr>
  </w:style>
  <w:style w:type="paragraph" w:styleId="38">
    <w:name w:val="Intense Quote"/>
    <w:basedOn w:val="1"/>
    <w:next w:val="1"/>
    <w:link w:val="39"/>
    <w:qFormat/>
    <w:uiPriority w:val="30"/>
    <w:pPr>
      <w:pBdr>
        <w:top w:val="single" w:color="366091" w:themeColor="accent1" w:themeShade="BF" w:sz="4" w:space="10"/>
        <w:bottom w:val="single" w:color="366091" w:themeColor="accent1" w:themeShade="BF" w:sz="4" w:space="10"/>
      </w:pBdr>
      <w:spacing w:before="360" w:after="360"/>
      <w:ind w:left="864" w:right="864"/>
      <w:jc w:val="center"/>
    </w:pPr>
    <w:rPr>
      <w:i/>
      <w:iCs/>
      <w:color w:val="376092" w:themeColor="accent1" w:themeShade="BF"/>
    </w:rPr>
  </w:style>
  <w:style w:type="character" w:customStyle="1" w:styleId="39">
    <w:name w:val="明显引用 字符"/>
    <w:basedOn w:val="21"/>
    <w:link w:val="38"/>
    <w:qFormat/>
    <w:uiPriority w:val="30"/>
    <w:rPr>
      <w:i/>
      <w:iCs/>
      <w:color w:val="376092" w:themeColor="accent1" w:themeShade="BF"/>
    </w:rPr>
  </w:style>
  <w:style w:type="character" w:customStyle="1" w:styleId="40">
    <w:name w:val="Intense Reference"/>
    <w:basedOn w:val="21"/>
    <w:qFormat/>
    <w:uiPriority w:val="32"/>
    <w:rPr>
      <w:b/>
      <w:bCs/>
      <w:smallCaps/>
      <w:color w:val="376092" w:themeColor="accent1" w:themeShade="BF"/>
      <w:spacing w:val="5"/>
    </w:rPr>
  </w:style>
  <w:style w:type="character" w:customStyle="1" w:styleId="41">
    <w:name w:val="页眉 字符"/>
    <w:basedOn w:val="21"/>
    <w:link w:val="14"/>
    <w:qFormat/>
    <w:uiPriority w:val="99"/>
    <w:rPr>
      <w:sz w:val="18"/>
      <w:szCs w:val="18"/>
    </w:rPr>
  </w:style>
  <w:style w:type="character" w:customStyle="1" w:styleId="42">
    <w:name w:val="页脚 字符"/>
    <w:basedOn w:val="21"/>
    <w:link w:val="13"/>
    <w:qFormat/>
    <w:uiPriority w:val="99"/>
    <w:rPr>
      <w:sz w:val="18"/>
      <w:szCs w:val="18"/>
    </w:rPr>
  </w:style>
  <w:style w:type="character" w:customStyle="1" w:styleId="43">
    <w:name w:val="正文文本 2 字符"/>
    <w:basedOn w:val="21"/>
    <w:link w:val="16"/>
    <w:qFormat/>
    <w:uiPriority w:val="0"/>
    <w:rPr>
      <w:rFonts w:ascii="Tahoma" w:hAnsi="Tahoma" w:eastAsia="微软雅黑" w:cs="Times New Roman"/>
      <w:kern w:val="0"/>
      <w:sz w:val="22"/>
    </w:rPr>
  </w:style>
  <w:style w:type="character" w:customStyle="1" w:styleId="44">
    <w:name w:val="HTML 预设格式 字符"/>
    <w:basedOn w:val="21"/>
    <w:link w:val="17"/>
    <w:qFormat/>
    <w:uiPriority w:val="0"/>
    <w:rPr>
      <w:rFonts w:ascii="宋体" w:hAnsi="宋体" w:eastAsia="宋体" w:cs="Times New Roman"/>
      <w:kern w:val="0"/>
      <w:sz w:val="24"/>
      <w:szCs w:val="24"/>
    </w:rPr>
  </w:style>
  <w:style w:type="paragraph" w:customStyle="1" w:styleId="45">
    <w:name w:val="null3"/>
    <w:qFormat/>
    <w:uiPriority w:val="0"/>
    <w:rPr>
      <w:rFonts w:hint="eastAsia" w:ascii="Calibri" w:hAnsi="Calibri" w:eastAsia="宋体" w:cs="Times New Roman"/>
      <w:kern w:val="0"/>
      <w:sz w:val="20"/>
      <w:szCs w:val="20"/>
      <w:lang w:val="en-US" w:eastAsia="zh-CN" w:bidi="ar-SA"/>
      <w14:ligatures w14:val="standardContextual"/>
    </w:rPr>
  </w:style>
  <w:style w:type="character" w:customStyle="1" w:styleId="46">
    <w:name w:val="正文缩进 字符"/>
    <w:link w:val="12"/>
    <w:qFormat/>
    <w:uiPriority w:val="0"/>
    <w:rPr>
      <w:rFonts w:ascii="Times New Roman" w:hAnsi="Times New Roman" w:eastAsia="宋体" w:cs="Times New Roman"/>
      <w:kern w:val="0"/>
      <w:sz w:val="20"/>
      <w:szCs w:val="20"/>
    </w:rPr>
  </w:style>
  <w:style w:type="character" w:customStyle="1" w:styleId="47">
    <w:name w:val="正文文本 字符"/>
    <w:basedOn w:val="21"/>
    <w:link w:val="2"/>
    <w:semiHidden/>
    <w:uiPriority w:val="99"/>
    <w:rPr>
      <w:rFonts w:ascii="Tahoma" w:hAnsi="Tahoma" w:eastAsia="微软雅黑" w:cs="Times New Roman"/>
      <w:kern w:val="0"/>
      <w:sz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23</Pages>
  <Words>5259</Words>
  <Characters>5512</Characters>
  <Lines>80</Lines>
  <Paragraphs>22</Paragraphs>
  <TotalTime>310</TotalTime>
  <ScaleCrop>false</ScaleCrop>
  <LinksUpToDate>false</LinksUpToDate>
  <CharactersWithSpaces>5657</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2024-11-04T07:36:00Z</dcterms:created>
  <dc:creator>Admin</dc:creator>
  <cp:lastModifiedBy>miracle</cp:lastModifiedBy>
  <cp:lastPrinted>2024-07-18T07:30:00Z</cp:lastPrinted>
  <dcterms:modified xsi:type="dcterms:W3CDTF">2024-11-25T06:22:23Z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0DEF99426A6E434185E5CCCBF6E079AB_13</vt:lpwstr>
  </property>
</Properties>
</file>