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738A">
      <w:pPr>
        <w:pStyle w:val="18"/>
        <w:spacing w:before="75" w:beforeAutospacing="0" w:after="75" w:afterAutospacing="0"/>
        <w:jc w:val="center"/>
        <w:rPr>
          <w:rFonts w:hint="eastAsia" w:cs="宋体" w:asciiTheme="minorEastAsia" w:hAnsiTheme="minorEastAsia" w:eastAsiaTheme="minorEastAsia"/>
          <w:b/>
          <w:bCs/>
          <w:sz w:val="32"/>
          <w:szCs w:val="32"/>
        </w:rPr>
      </w:pPr>
    </w:p>
    <w:p w14:paraId="3B9D53B1">
      <w:pPr>
        <w:adjustRightInd/>
        <w:snapToGrid/>
        <w:spacing w:after="0" w:line="480" w:lineRule="atLeast"/>
        <w:jc w:val="center"/>
        <w:rPr>
          <w:rFonts w:hint="eastAsia" w:cs="宋体" w:asciiTheme="minorEastAsia" w:hAnsiTheme="minorEastAsia" w:eastAsiaTheme="minorEastAsia"/>
          <w:b/>
          <w:bCs/>
          <w:color w:val="404040"/>
          <w:sz w:val="32"/>
          <w:szCs w:val="32"/>
        </w:rPr>
      </w:pPr>
      <w:bookmarkStart w:id="0" w:name="_Hlk181695900"/>
      <w:bookmarkStart w:id="1" w:name="_Hlk181628789"/>
      <w:r>
        <w:rPr>
          <w:rFonts w:cs="宋体" w:asciiTheme="minorEastAsia" w:hAnsiTheme="minorEastAsia" w:eastAsiaTheme="minorEastAsia"/>
          <w:b/>
          <w:bCs/>
          <w:color w:val="404040"/>
          <w:sz w:val="32"/>
          <w:szCs w:val="32"/>
        </w:rPr>
        <w:t>福建省肿瘤医院</w:t>
      </w:r>
      <w:bookmarkStart w:id="36" w:name="_GoBack"/>
      <w:r>
        <w:rPr>
          <w:rFonts w:hint="eastAsia" w:cs="宋体" w:asciiTheme="minorEastAsia" w:hAnsiTheme="minorEastAsia" w:eastAsiaTheme="minorEastAsia"/>
          <w:b/>
          <w:bCs/>
          <w:color w:val="404040"/>
          <w:sz w:val="32"/>
          <w:szCs w:val="32"/>
        </w:rPr>
        <w:t>护理护工服务遴选</w:t>
      </w:r>
    </w:p>
    <w:bookmarkEnd w:id="0"/>
    <w:p w14:paraId="1DA08FFC">
      <w:pPr>
        <w:adjustRightInd/>
        <w:snapToGrid/>
        <w:spacing w:after="0" w:line="480" w:lineRule="atLeast"/>
        <w:jc w:val="center"/>
        <w:rPr>
          <w:rFonts w:hint="eastAsia" w:cs="宋体" w:asciiTheme="minorEastAsia" w:hAnsiTheme="minorEastAsia" w:eastAsiaTheme="minorEastAsia"/>
          <w:b/>
          <w:bCs/>
          <w:color w:val="404040"/>
          <w:sz w:val="32"/>
          <w:szCs w:val="32"/>
        </w:rPr>
      </w:pPr>
      <w:r>
        <w:rPr>
          <w:rFonts w:hint="eastAsia" w:cs="宋体" w:asciiTheme="minorEastAsia" w:hAnsiTheme="minorEastAsia" w:eastAsiaTheme="minorEastAsia"/>
          <w:b/>
          <w:bCs/>
          <w:color w:val="404040"/>
          <w:sz w:val="32"/>
          <w:szCs w:val="32"/>
        </w:rPr>
        <w:t>项目</w:t>
      </w:r>
      <w:bookmarkEnd w:id="1"/>
      <w:bookmarkEnd w:id="36"/>
      <w:r>
        <w:rPr>
          <w:rFonts w:hint="eastAsia" w:cs="宋体" w:asciiTheme="minorEastAsia" w:hAnsiTheme="minorEastAsia" w:eastAsiaTheme="minorEastAsia"/>
          <w:b/>
          <w:bCs/>
          <w:color w:val="404040"/>
          <w:sz w:val="32"/>
          <w:szCs w:val="32"/>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一、招标项目概况和范围</w:t>
      </w:r>
    </w:p>
    <w:p w14:paraId="78F50B3C">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项目名称：福建省肿瘤医院护理护工服务遴选项目</w:t>
      </w:r>
    </w:p>
    <w:p w14:paraId="6BBCF73A">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项目地点：福马路420号。</w:t>
      </w:r>
    </w:p>
    <w:p w14:paraId="4B6564C8">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招标范围和内容：见附件。</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二、投标人资格要求及审查办法</w:t>
      </w:r>
    </w:p>
    <w:p w14:paraId="35E81E9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满足《中华人民共和国政府采购法》第二十二条规定。</w:t>
      </w:r>
    </w:p>
    <w:p w14:paraId="24EA0D3A">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落实政府采购政策需满足的资格要求。</w:t>
      </w:r>
    </w:p>
    <w:p w14:paraId="420A2E68">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委托代表人资格证明书（附法人及委托人身份证）。</w:t>
      </w:r>
    </w:p>
    <w:p w14:paraId="20A993BD">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投标人须具有有效的《劳务派遣经营许可证》</w:t>
      </w:r>
    </w:p>
    <w:p w14:paraId="673E7AD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财务状况报告（最近一个年度经审计的财务报告或资信证明或投标担保函）；</w:t>
      </w:r>
    </w:p>
    <w:p w14:paraId="5AED2D3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参加本次活动前三年内，在经营活动中没有重大违法违规记录的承诺。</w:t>
      </w:r>
    </w:p>
    <w:p w14:paraId="6A970FD7">
      <w:pPr>
        <w:numPr>
          <w:ilvl w:val="0"/>
          <w:numId w:val="2"/>
        </w:numPr>
        <w:adjustRightInd/>
        <w:snapToGrid/>
        <w:spacing w:before="150" w:after="0" w:line="480" w:lineRule="atLeast"/>
        <w:jc w:val="both"/>
        <w:rPr>
          <w:rFonts w:hint="eastAsia" w:asciiTheme="minorEastAsia" w:hAnsiTheme="minorEastAsia" w:eastAsiaTheme="minorEastAsia"/>
        </w:rPr>
      </w:pPr>
      <w:r>
        <w:rPr>
          <w:rFonts w:hint="eastAsia" w:cs="宋体" w:asciiTheme="minorEastAsia" w:hAnsiTheme="minorEastAsia" w:eastAsiaTheme="minorEastAsia"/>
          <w:color w:val="404040"/>
          <w:sz w:val="26"/>
          <w:szCs w:val="26"/>
        </w:rPr>
        <w:t>具备履行合同所必需设备和专业技术能力的声明函；</w:t>
      </w:r>
    </w:p>
    <w:p w14:paraId="57EBACF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资格审查采用方式：资格后审。</w:t>
      </w:r>
    </w:p>
    <w:p w14:paraId="07570C06">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本招标项目不接受联合体投标，不接受备选投标方案，不允许分包。</w:t>
      </w:r>
    </w:p>
    <w:p w14:paraId="3174ED90">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投标人应通过“信用中国（</w:t>
      </w:r>
      <w:r>
        <w:fldChar w:fldCharType="begin"/>
      </w:r>
      <w:r>
        <w:instrText xml:space="preserve"> HYPERLINK "http://www.creditchina.gov.cn/" </w:instrText>
      </w:r>
      <w:r>
        <w:fldChar w:fldCharType="separate"/>
      </w:r>
      <w:r>
        <w:rPr>
          <w:rStyle w:val="22"/>
          <w:rFonts w:hint="eastAsia" w:cs="宋体" w:asciiTheme="minorEastAsia" w:hAnsiTheme="minorEastAsia" w:eastAsiaTheme="minorEastAsia"/>
          <w:sz w:val="26"/>
          <w:szCs w:val="26"/>
        </w:rPr>
        <w:t>www.creditchina.gov.cn</w:t>
      </w:r>
      <w:r>
        <w:rPr>
          <w:rStyle w:val="22"/>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)”、“中国政府采购网(</w:t>
      </w:r>
      <w:r>
        <w:fldChar w:fldCharType="begin"/>
      </w:r>
      <w:r>
        <w:instrText xml:space="preserve"> HYPERLINK "http://www.ccgp.gov.cn" </w:instrText>
      </w:r>
      <w:r>
        <w:fldChar w:fldCharType="separate"/>
      </w:r>
      <w:r>
        <w:rPr>
          <w:rStyle w:val="22"/>
          <w:rFonts w:hint="eastAsia" w:cs="宋体" w:asciiTheme="minorEastAsia" w:hAnsiTheme="minorEastAsia" w:eastAsiaTheme="minorEastAsia"/>
          <w:sz w:val="26"/>
          <w:szCs w:val="26"/>
        </w:rPr>
        <w:t>www.ccgp.gov.cn</w:t>
      </w:r>
      <w:r>
        <w:rPr>
          <w:rStyle w:val="22"/>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)”查询并打印相应的信用记录。</w:t>
      </w:r>
    </w:p>
    <w:p w14:paraId="6DCA8DAB">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EA9C998">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2、凡有意参加投标者，均可在福建省肿瘤医院官网（</w:t>
      </w:r>
      <w:r>
        <w:rPr>
          <w:rFonts w:cs="宋体" w:asciiTheme="minorEastAsia" w:hAnsiTheme="minorEastAsia" w:eastAsiaTheme="minorEastAsia"/>
          <w:color w:val="404040"/>
          <w:sz w:val="26"/>
          <w:szCs w:val="26"/>
        </w:rPr>
        <w:t>https://www.fjzl.com.cn</w:t>
      </w:r>
      <w:r>
        <w:rPr>
          <w:rFonts w:hint="eastAsia" w:cs="宋体" w:asciiTheme="minorEastAsia" w:hAnsiTheme="minorEastAsia" w:eastAsiaTheme="minorEastAsia"/>
          <w:color w:val="404040"/>
          <w:sz w:val="26"/>
          <w:szCs w:val="26"/>
        </w:rPr>
        <w:t>）下载与本项目相关的招标信息（包括招标文件、招标文件补充说明等），并于2024年</w:t>
      </w:r>
      <w:r>
        <w:rPr>
          <w:rFonts w:hint="eastAsia" w:cs="宋体" w:asciiTheme="minorEastAsia" w:hAnsiTheme="minorEastAsia" w:eastAsiaTheme="minorEastAsia"/>
          <w:color w:val="404040"/>
          <w:sz w:val="26"/>
          <w:szCs w:val="26"/>
          <w:lang w:val="en-US" w:eastAsia="zh-CN"/>
        </w:rPr>
        <w:t>11</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2</w:t>
      </w:r>
      <w:r>
        <w:rPr>
          <w:rFonts w:hint="eastAsia" w:cs="宋体" w:asciiTheme="minorEastAsia" w:hAnsiTheme="minorEastAsia" w:eastAsiaTheme="minorEastAsia"/>
          <w:color w:val="404040"/>
          <w:sz w:val="26"/>
          <w:szCs w:val="26"/>
        </w:rPr>
        <w:t>日至2024年</w:t>
      </w:r>
      <w:r>
        <w:rPr>
          <w:rFonts w:hint="eastAsia" w:cs="宋体" w:asciiTheme="minorEastAsia" w:hAnsiTheme="minorEastAsia" w:eastAsiaTheme="minorEastAsia"/>
          <w:color w:val="404040"/>
          <w:sz w:val="26"/>
          <w:szCs w:val="26"/>
          <w:lang w:val="en-US" w:eastAsia="zh-CN"/>
        </w:rPr>
        <w:t>11</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8</w:t>
      </w:r>
      <w:r>
        <w:rPr>
          <w:rFonts w:hint="eastAsia" w:cs="宋体" w:asciiTheme="minorEastAsia" w:hAnsiTheme="minorEastAsia" w:eastAsiaTheme="minorEastAsia"/>
          <w:color w:val="404040"/>
          <w:sz w:val="26"/>
          <w:szCs w:val="26"/>
        </w:rPr>
        <w:t>日(节假日除外)8：00-12：00或14：</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0-17：</w:t>
      </w:r>
      <w:r>
        <w:rPr>
          <w:rFonts w:hint="eastAsia" w:cs="宋体" w:asciiTheme="minorEastAsia" w:hAnsiTheme="minorEastAsia" w:eastAsiaTheme="minorEastAsia"/>
          <w:color w:val="404040"/>
          <w:sz w:val="26"/>
          <w:szCs w:val="26"/>
          <w:lang w:val="en-US" w:eastAsia="zh-CN"/>
        </w:rPr>
        <w:t>00</w:t>
      </w:r>
      <w:r>
        <w:rPr>
          <w:rFonts w:hint="eastAsia" w:cs="宋体" w:asciiTheme="minorEastAsia" w:hAnsiTheme="minorEastAsia" w:eastAsiaTheme="minorEastAsia"/>
          <w:color w:val="404040"/>
          <w:sz w:val="26"/>
          <w:szCs w:val="26"/>
        </w:rPr>
        <w:t>，携带加盖公章的营业执照复印件、介绍信前往福建省肿瘤医院总务科报名。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1、投标文件正本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w:t>
      </w:r>
      <w:r>
        <w:rPr>
          <w:rFonts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rPr>
        <w:t>副本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2、投标文件递交的截止时间：2024年</w:t>
      </w:r>
      <w:r>
        <w:rPr>
          <w:rFonts w:hint="eastAsia" w:cs="宋体" w:asciiTheme="minorEastAsia" w:hAnsiTheme="minorEastAsia" w:eastAsiaTheme="minorEastAsia"/>
          <w:color w:val="404040"/>
          <w:sz w:val="26"/>
          <w:szCs w:val="26"/>
          <w:lang w:val="en-US" w:eastAsia="zh-CN"/>
        </w:rPr>
        <w:t>11</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9</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1、开标时间：2024年</w:t>
      </w:r>
      <w:r>
        <w:rPr>
          <w:rFonts w:hint="eastAsia" w:cs="宋体" w:asciiTheme="minorEastAsia" w:hAnsiTheme="minorEastAsia" w:eastAsiaTheme="minorEastAsia"/>
          <w:color w:val="404040"/>
          <w:sz w:val="26"/>
          <w:szCs w:val="26"/>
          <w:lang w:val="en-US" w:eastAsia="zh-CN"/>
        </w:rPr>
        <w:t>11</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9</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0时</w:t>
      </w:r>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 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2.若有涉及招标文件内容更正，请各潜在投标人密切关注福建省肿瘤医院官网通知，以最新公告为准。</w:t>
      </w:r>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2、评标方法：</w:t>
      </w:r>
      <w:r>
        <w:rPr>
          <w:rFonts w:hint="eastAsia" w:cs="宋体" w:asciiTheme="minorEastAsia" w:hAnsiTheme="minorEastAsia" w:eastAsiaTheme="minorEastAsia"/>
          <w:color w:val="404040"/>
          <w:sz w:val="26"/>
          <w:szCs w:val="26"/>
          <w:highlight w:val="yellow"/>
        </w:rPr>
        <w:t>综合评分。</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1、合同专用条款内容依照国家规范文本，合同通用条款内容解释依照国家规</w:t>
      </w:r>
      <w:r>
        <w:rPr>
          <w:rFonts w:hint="eastAsia" w:cs="宋体" w:asciiTheme="minorEastAsia" w:hAnsiTheme="minorEastAsia" w:eastAsiaTheme="minorEastAsia"/>
          <w:color w:val="404040"/>
          <w:sz w:val="28"/>
          <w:szCs w:val="28"/>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在采购报名、采购调研等采购过程中有任何异议，可联系我院监督科室。电话：83660063-8407；83660063-8467。</w:t>
      </w:r>
    </w:p>
    <w:p w14:paraId="7E51BAB8">
      <w:pPr>
        <w:pStyle w:val="16"/>
        <w:rPr>
          <w:rFonts w:hint="eastAsia" w:cs="仿宋_GB2312" w:asciiTheme="minorEastAsia" w:hAnsiTheme="minorEastAsia" w:eastAsiaTheme="minorEastAsia"/>
          <w:b/>
          <w:sz w:val="24"/>
          <w:szCs w:val="24"/>
        </w:rPr>
      </w:pPr>
    </w:p>
    <w:p w14:paraId="20752ABE">
      <w:pPr>
        <w:adjustRightInd/>
        <w:snapToGrid/>
        <w:spacing w:after="0"/>
        <w:rPr>
          <w:rFonts w:hint="eastAsia" w:cs="仿宋_GB2312" w:asciiTheme="minorEastAsia" w:hAnsiTheme="minorEastAsia" w:eastAsiaTheme="minorEastAsia"/>
          <w:b/>
          <w:sz w:val="24"/>
          <w:szCs w:val="24"/>
        </w:rPr>
      </w:pPr>
      <w:r>
        <w:rPr>
          <w:rFonts w:cs="仿宋_GB2312" w:asciiTheme="minorEastAsia" w:hAnsiTheme="minorEastAsia" w:eastAsiaTheme="minorEastAsia"/>
          <w:b/>
          <w:sz w:val="24"/>
          <w:szCs w:val="24"/>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报价内容一览</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控制价</w:t>
            </w:r>
          </w:p>
        </w:tc>
        <w:tc>
          <w:tcPr>
            <w:tcW w:w="1436" w:type="dxa"/>
            <w:shd w:val="clear" w:color="FFFFFF" w:fill="auto"/>
            <w:vAlign w:val="center"/>
          </w:tcPr>
          <w:p w14:paraId="302BA55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数量</w:t>
            </w:r>
          </w:p>
        </w:tc>
        <w:tc>
          <w:tcPr>
            <w:tcW w:w="1500"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福建省肿瘤医院护理护工服务遴选</w:t>
            </w:r>
            <w:r>
              <w:rPr>
                <w:rFonts w:cs="宋体" w:asciiTheme="minorEastAsia" w:hAnsiTheme="minorEastAsia" w:eastAsiaTheme="minorEastAsia"/>
                <w:color w:val="404040"/>
                <w:sz w:val="26"/>
                <w:szCs w:val="26"/>
              </w:rPr>
              <w:t>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rPr>
            </w:pPr>
            <w:r>
              <w:rPr>
                <w:rFonts w:hint="eastAsia" w:cs="宋体" w:asciiTheme="minorEastAsia" w:hAnsiTheme="minorEastAsia" w:eastAsiaTheme="minorEastAsia"/>
                <w:color w:val="404040"/>
                <w:sz w:val="26"/>
                <w:szCs w:val="26"/>
              </w:rPr>
              <w:t>综合评分</w:t>
            </w:r>
          </w:p>
        </w:tc>
        <w:tc>
          <w:tcPr>
            <w:tcW w:w="1082" w:type="dxa"/>
            <w:vAlign w:val="center"/>
          </w:tcPr>
          <w:p w14:paraId="7C8F1CC2">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w:t>
            </w:r>
          </w:p>
        </w:tc>
        <w:tc>
          <w:tcPr>
            <w:tcW w:w="1436" w:type="dxa"/>
            <w:vAlign w:val="center"/>
          </w:tcPr>
          <w:p w14:paraId="194F3C49">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w:t>
            </w:r>
          </w:p>
        </w:tc>
        <w:tc>
          <w:tcPr>
            <w:tcW w:w="1500" w:type="dxa"/>
            <w:vAlign w:val="center"/>
          </w:tcPr>
          <w:p w14:paraId="0FC86F1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r>
    </w:tbl>
    <w:p w14:paraId="13D7C867">
      <w:pPr>
        <w:pStyle w:val="16"/>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备注：</w:t>
      </w:r>
      <w:r>
        <w:rPr>
          <w:rFonts w:hint="eastAsia" w:cs="宋体" w:asciiTheme="minorEastAsia" w:hAnsiTheme="minorEastAsia" w:eastAsiaTheme="minorEastAsia"/>
          <w:color w:val="404040"/>
          <w:sz w:val="26"/>
          <w:szCs w:val="26"/>
        </w:rPr>
        <w:t>1、</w:t>
      </w:r>
      <w:r>
        <w:rPr>
          <w:rFonts w:cs="宋体" w:asciiTheme="minorEastAsia" w:hAnsiTheme="minorEastAsia" w:eastAsiaTheme="minorEastAsia"/>
          <w:color w:val="404040"/>
          <w:sz w:val="26"/>
          <w:szCs w:val="26"/>
        </w:rPr>
        <w:t>如双方对招标内容产生歧义，最终解释权归采购人。</w:t>
      </w:r>
    </w:p>
    <w:p w14:paraId="582FE125">
      <w:pPr>
        <w:pStyle w:val="16"/>
        <w:rPr>
          <w:rFonts w:hint="eastAsia" w:cs="仿宋_GB2312" w:asciiTheme="minorEastAsia" w:hAnsiTheme="minorEastAsia" w:eastAsiaTheme="minorEastAsia"/>
          <w:b/>
          <w:sz w:val="24"/>
          <w:szCs w:val="24"/>
        </w:rPr>
      </w:pPr>
    </w:p>
    <w:p w14:paraId="3FDD3E74">
      <w:pPr>
        <w:adjustRightInd/>
        <w:snapToGrid/>
        <w:spacing w:after="0"/>
        <w:rPr>
          <w:rFonts w:hint="eastAsia" w:cs="仿宋_GB2312" w:asciiTheme="minorEastAsia" w:hAnsiTheme="minorEastAsia" w:eastAsiaTheme="minorEastAsia"/>
          <w:b/>
          <w:sz w:val="24"/>
          <w:szCs w:val="24"/>
        </w:rPr>
      </w:pPr>
    </w:p>
    <w:p w14:paraId="25B1C534">
      <w:pPr>
        <w:pStyle w:val="16"/>
        <w:rPr>
          <w:rFonts w:hint="eastAsia" w:cs="仿宋_GB2312" w:asciiTheme="minorEastAsia" w:hAnsiTheme="minorEastAsia" w:eastAsiaTheme="minorEastAsia"/>
          <w:b/>
          <w:sz w:val="24"/>
          <w:szCs w:val="24"/>
        </w:rPr>
      </w:pPr>
    </w:p>
    <w:p w14:paraId="2FE7264C">
      <w:pPr>
        <w:pStyle w:val="16"/>
        <w:rPr>
          <w:rFonts w:hint="eastAsia" w:cs="仿宋_GB2312" w:asciiTheme="minorEastAsia" w:hAnsiTheme="minorEastAsia" w:eastAsiaTheme="minorEastAsia"/>
          <w:b/>
          <w:sz w:val="24"/>
          <w:szCs w:val="24"/>
        </w:rPr>
      </w:pPr>
    </w:p>
    <w:p w14:paraId="51B4F33F">
      <w:pPr>
        <w:pStyle w:val="16"/>
        <w:rPr>
          <w:rFonts w:hint="eastAsia" w:cs="仿宋_GB2312" w:asciiTheme="minorEastAsia" w:hAnsiTheme="minorEastAsia" w:eastAsiaTheme="minorEastAsia"/>
          <w:b/>
          <w:sz w:val="24"/>
          <w:szCs w:val="24"/>
        </w:rPr>
      </w:pPr>
    </w:p>
    <w:p w14:paraId="25E49639">
      <w:pPr>
        <w:pStyle w:val="16"/>
        <w:rPr>
          <w:rFonts w:hint="eastAsia" w:cs="仿宋_GB2312" w:asciiTheme="minorEastAsia" w:hAnsiTheme="minorEastAsia" w:eastAsiaTheme="minorEastAsia"/>
          <w:b/>
          <w:sz w:val="24"/>
          <w:szCs w:val="24"/>
        </w:rPr>
      </w:pPr>
    </w:p>
    <w:p w14:paraId="4D63D67B">
      <w:pPr>
        <w:pStyle w:val="16"/>
        <w:rPr>
          <w:rFonts w:hint="eastAsia" w:cs="仿宋_GB2312" w:asciiTheme="minorEastAsia" w:hAnsiTheme="minorEastAsia" w:eastAsiaTheme="minorEastAsia"/>
          <w:b/>
          <w:sz w:val="24"/>
          <w:szCs w:val="24"/>
        </w:rPr>
      </w:pPr>
    </w:p>
    <w:p w14:paraId="0A281B5B">
      <w:pPr>
        <w:pStyle w:val="16"/>
        <w:rPr>
          <w:rFonts w:hint="eastAsia" w:cs="仿宋_GB2312" w:asciiTheme="minorEastAsia" w:hAnsiTheme="minorEastAsia" w:eastAsiaTheme="minorEastAsia"/>
          <w:b/>
          <w:sz w:val="24"/>
          <w:szCs w:val="24"/>
        </w:rPr>
      </w:pPr>
    </w:p>
    <w:p w14:paraId="3FAE3066">
      <w:pPr>
        <w:pStyle w:val="16"/>
        <w:rPr>
          <w:rFonts w:hint="eastAsia" w:cs="仿宋_GB2312" w:asciiTheme="minorEastAsia" w:hAnsiTheme="minorEastAsia" w:eastAsiaTheme="minorEastAsia"/>
          <w:b/>
          <w:sz w:val="24"/>
          <w:szCs w:val="24"/>
        </w:rPr>
      </w:pPr>
    </w:p>
    <w:p w14:paraId="188397B1">
      <w:pPr>
        <w:pStyle w:val="16"/>
        <w:rPr>
          <w:rFonts w:hint="eastAsia" w:cs="仿宋_GB2312" w:asciiTheme="minorEastAsia" w:hAnsiTheme="minorEastAsia" w:eastAsiaTheme="minorEastAsia"/>
          <w:b/>
          <w:sz w:val="24"/>
          <w:szCs w:val="24"/>
        </w:rPr>
      </w:pPr>
    </w:p>
    <w:p w14:paraId="0B5F2497">
      <w:pPr>
        <w:pStyle w:val="16"/>
        <w:rPr>
          <w:rFonts w:hint="eastAsia" w:cs="仿宋_GB2312" w:asciiTheme="minorEastAsia" w:hAnsiTheme="minorEastAsia" w:eastAsiaTheme="minorEastAsia"/>
          <w:b/>
          <w:sz w:val="24"/>
          <w:szCs w:val="24"/>
        </w:rPr>
      </w:pPr>
    </w:p>
    <w:p w14:paraId="5C0B6CAD">
      <w:pPr>
        <w:pStyle w:val="16"/>
        <w:rPr>
          <w:rFonts w:hint="eastAsia" w:cs="仿宋_GB2312" w:asciiTheme="minorEastAsia" w:hAnsiTheme="minorEastAsia" w:eastAsiaTheme="minorEastAsia"/>
          <w:b/>
          <w:sz w:val="24"/>
          <w:szCs w:val="24"/>
        </w:rPr>
      </w:pPr>
    </w:p>
    <w:p w14:paraId="0A2F7A80">
      <w:pPr>
        <w:adjustRightInd/>
        <w:snapToGrid/>
        <w:spacing w:after="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br w:type="page"/>
      </w:r>
    </w:p>
    <w:p w14:paraId="35536F9F">
      <w:pPr>
        <w:pStyle w:val="45"/>
        <w:rPr>
          <w:rFonts w:cs="宋体" w:asciiTheme="minorEastAsia" w:hAnsiTheme="minorEastAsia" w:eastAsiaTheme="minorEastAsia"/>
          <w:b/>
          <w:sz w:val="36"/>
          <w:szCs w:val="36"/>
        </w:rPr>
      </w:pPr>
      <w:r>
        <w:rPr>
          <w:rFonts w:cs="宋体" w:asciiTheme="minorEastAsia" w:hAnsiTheme="minorEastAsia" w:eastAsiaTheme="minorEastAsia"/>
          <w:b/>
          <w:sz w:val="36"/>
          <w:szCs w:val="36"/>
        </w:rPr>
        <w:t>附件：</w:t>
      </w:r>
    </w:p>
    <w:p w14:paraId="581E4BC7">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一、技术和服务要求</w:t>
      </w:r>
    </w:p>
    <w:p w14:paraId="1D4DE72A">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1.人员要求</w:t>
      </w:r>
    </w:p>
    <w:p w14:paraId="50A9EFE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1.1、护理员管理人员要求</w:t>
      </w:r>
    </w:p>
    <w:p w14:paraId="2264585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在医院内配置项目管理团队，项目经理资质要求：本科及以上学历，取得护士资格证书，具备5年以上护理相关工作经验；按比例20个护理员配置1个护理员管理人员。</w:t>
      </w:r>
    </w:p>
    <w:p w14:paraId="7E9EC884">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1.2、护理员要求</w:t>
      </w:r>
    </w:p>
    <w:p w14:paraId="2C7F5CE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聘用的护理员年龄符合18-60岁，服务意识强，态度端正，无参加非法组织及活动，提供无犯罪记录证明，有一定的语言表达和沟通交流的能力，具有小学及以上文化水平，男女不限，须进行岗前培训，具有护理类初级（或以上）职称证书或医疗护理员培训证书或护理类相关培训结业证书，持有医疗护理员培训证书人员占护理员总数50%及以上，且持有医疗护理员培训证书人员达到50人及以上。</w:t>
      </w:r>
    </w:p>
    <w:p w14:paraId="2D1BC19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2.护理员人员管理要求</w:t>
      </w:r>
    </w:p>
    <w:p w14:paraId="1CDE962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2.1、护理员档案管理</w:t>
      </w:r>
    </w:p>
    <w:p w14:paraId="2231FC0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具有培训合格证书的护理员应建立档案，未建档不得从事护理员工作。</w:t>
      </w:r>
    </w:p>
    <w:p w14:paraId="729F61E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2.2、护理员健康管理</w:t>
      </w:r>
    </w:p>
    <w:p w14:paraId="677CADD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护理员上岗前应在二级以上医院进行健康检查并取得合格证，上岗后应每年进行一次健康检查。患有精神障碍、传染性疾病、药物过敏等疾病的人员，不得从事护理员工作。</w:t>
      </w:r>
    </w:p>
    <w:p w14:paraId="35251A58">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2.3、投标人有购买有效期内的团体人身险（包括但不限于个人意外险或雇主责任险）</w:t>
      </w:r>
    </w:p>
    <w:p w14:paraId="6B707FA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2.4、建立考评机制</w:t>
      </w:r>
    </w:p>
    <w:p w14:paraId="55DD1F4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中标人建立健全以职业道德、业务水平和患者满意度为主要内容的护理员考核评价方法，定期对护理员进行考核评价，并将考核结果计入护理员个人档案，对考核评价优良的优先聘用上岗，考核评价不合格的要责令其立即整改，对拒不改正，或不服从管理、职业道德差、乱收费、侵害患者合法权益的，采购人有权取消其在本项目的陪护资格。</w:t>
      </w:r>
    </w:p>
    <w:p w14:paraId="1F05ADE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2.5、监督管理</w:t>
      </w:r>
    </w:p>
    <w:p w14:paraId="37ED38DB">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中标人应认真做好护理员规范化管理工作，对医院考评不合格的护理员应解除合作关系，不再进行录用。</w:t>
      </w:r>
    </w:p>
    <w:p w14:paraId="22AAFD68">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3、护理员岗位设置、服务范围、内容</w:t>
      </w:r>
    </w:p>
    <w:p w14:paraId="14C83C1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3.1、岗位设置：接受</w:t>
      </w:r>
      <w:r>
        <w:rPr>
          <w:rFonts w:hint="eastAsia" w:asciiTheme="minorEastAsia" w:hAnsiTheme="minorEastAsia" w:eastAsiaTheme="minorEastAsia"/>
          <w:sz w:val="24"/>
          <w:u w:val="single"/>
        </w:rPr>
        <w:t>福建省肿瘤</w:t>
      </w:r>
      <w:r>
        <w:rPr>
          <w:rFonts w:hint="eastAsia" w:asciiTheme="minorEastAsia" w:hAnsiTheme="minorEastAsia" w:eastAsiaTheme="minorEastAsia"/>
          <w:sz w:val="24"/>
        </w:rPr>
        <w:t>医院陪护服务委托管理，对全院护理员实行“五统一”（统一调配、统一着装、统一标志、统一收费、统一管理）管理，严格执行护理员岗位职责，不得从事与护理员职责无关的活动，严禁护理员代替护士从事护理技术性操作。</w:t>
      </w:r>
    </w:p>
    <w:p w14:paraId="60B56EB4">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3.2、护理员服务内容</w:t>
      </w:r>
    </w:p>
    <w:p w14:paraId="2B64EC5F">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护理员应在科室护士长或注册护士的业务指导下从事生活护理，尊重患者、关心患者，耐心细致地完成患者的生活护理，保护患者的隐私。包括：</w:t>
      </w:r>
    </w:p>
    <w:p w14:paraId="59CCD17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（1）24小时陪伴、观察病人，看护输液，发现异常及时报告医护人员。</w:t>
      </w:r>
    </w:p>
    <w:p w14:paraId="218C19EC">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（2）工作认真细致，严格实施各项防护措施，严防压疮、脱管、坠床、跌倒、烫伤、走失等不良事件的发生。</w:t>
      </w:r>
    </w:p>
    <w:p w14:paraId="16CB30D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（3）协助做好患者的床位整理，保持床头桌整洁有序，床底、地面无杂物，协助保持病房的安静整洁。</w:t>
      </w:r>
    </w:p>
    <w:p w14:paraId="0C1DE4E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（4）协助患者完成基本的生活护理，如卧床患者洗脸、洗头、梳头、洗脚、洗衣服、床上擦浴、修剪指（趾）甲、口腔卫生、患者会阴部清洁、皮肤护理、递送便盆、便壶、翻身、拍背、按摩、预防褥疮等。</w:t>
      </w:r>
    </w:p>
    <w:p w14:paraId="71E427B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（5）协助卧床患者及输液患者进食、进水、喂药，饭前饭后洗手，协助大小便及递送便器、处理排泄物等。</w:t>
      </w:r>
    </w:p>
    <w:p w14:paraId="58D5A7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（6）协助搬动患者或迁床工作，协助生活不能自理的患者起床活动，如上下床、坐轮椅、摆放体位以及活动关节等。</w:t>
      </w:r>
    </w:p>
    <w:p w14:paraId="1785B15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（7）协助患者留取各种标本。</w:t>
      </w:r>
    </w:p>
    <w:p w14:paraId="7EF0D97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（8）协助或陪同患者外出行相关检查、治疗。</w:t>
      </w:r>
    </w:p>
    <w:p w14:paraId="78D30D3B">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（9）在护士指导下，协助患者进行康复性训练。</w:t>
      </w:r>
    </w:p>
    <w:p w14:paraId="53AF856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（10）做好患者的心理安抚，陪伴患者并与患者及家属有效沟通。</w:t>
      </w:r>
    </w:p>
    <w:p w14:paraId="0F9D625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3.3、严禁护理员代替护士从事以下护理技术性操作</w:t>
      </w:r>
    </w:p>
    <w:p w14:paraId="23D3482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（1）严禁为患者调节氧气开关及氧气流量，更换或加减湿化瓶内用水。</w:t>
      </w:r>
    </w:p>
    <w:p w14:paraId="7B82D24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（2）严禁为输液患者更换液体，私自调节输液速度及为患者拔除输液管道。</w:t>
      </w:r>
    </w:p>
    <w:p w14:paraId="64C917A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（3）严禁为患者吸痰，擅自为患者更换各种引流瓶，为患者拔除各种引流管。</w:t>
      </w:r>
    </w:p>
    <w:p w14:paraId="119C337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（4）严禁擅自处理或调节监护仪器、呼吸机、输液泵等医疗设备等。</w:t>
      </w:r>
    </w:p>
    <w:p w14:paraId="306F03A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（5）严禁其它医疗护理技术操作。</w:t>
      </w:r>
    </w:p>
    <w:p w14:paraId="2DEB994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3.4、护理员工作要求</w:t>
      </w:r>
    </w:p>
    <w:p w14:paraId="4262EA9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（1）服从科室护士长和护理员管理站的管理，不挑选病人或科室。</w:t>
      </w:r>
    </w:p>
    <w:p w14:paraId="67CE817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（2）上班时须穿工作服，平底鞋，佩戴胸卡，衣服整洁卫生。</w:t>
      </w:r>
    </w:p>
    <w:p w14:paraId="784A820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（3）必须有爱心观念，视病人如亲人，积极倡导“三轻四心”即“说话轻、走路轻、做事轻，爱心、耐心、细心、责任心”的服务理念。</w:t>
      </w:r>
    </w:p>
    <w:p w14:paraId="5D6C57A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（4）护理员须尊重和保护病人隐私，不泄露病人信息。</w:t>
      </w:r>
    </w:p>
    <w:p w14:paraId="206AC82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（5）护理员可配合管理中心向病人或家属催缴正当的陪护费用，除此之外不向病人及家属索取任何钱物，做到不贪不拿不敲诈勒索。</w:t>
      </w:r>
    </w:p>
    <w:p w14:paraId="3B8C718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3.5、护理员工作质量标准</w:t>
      </w:r>
    </w:p>
    <w:p w14:paraId="15EB41B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在合同实施过程中，中标供应商须定期按采购人要求对护理员的工作要求和工作质量标准进行修订提升，中标供应商须积极配合改进，以满足采购人、患者及家属的需求。</w:t>
      </w:r>
    </w:p>
    <w:p w14:paraId="7D442FB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工作质量标准由中标供应商管理人员监督，每日定时巡查，巡查中发现的问题及时整改，严格按照管理规章制度执行。要求如下：</w:t>
      </w:r>
    </w:p>
    <w:p w14:paraId="3BE768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(1)病室环境整洁、安静、无异味，空气清新。</w:t>
      </w:r>
    </w:p>
    <w:p w14:paraId="379F166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(2)病室内无危险物品（如：刀、剪、绳、火、玻璃制品及锐器等）</w:t>
      </w:r>
    </w:p>
    <w:p w14:paraId="6D2BA60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(3)保持病人“三短六洁四无”：</w:t>
      </w:r>
    </w:p>
    <w:p w14:paraId="3E8DBD0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1）三短：病人头发、胡须、指（趾）甲短；</w:t>
      </w:r>
    </w:p>
    <w:p w14:paraId="5E9A79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2）六洁：病人口腔、皮肤、头发、手足、会阴及肛门清洁；</w:t>
      </w:r>
    </w:p>
    <w:p w14:paraId="6732604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3）四无：病人及病床无异味、衣服被褥无潮湿、床单无皱褶、皮肤无压疮。</w:t>
      </w:r>
    </w:p>
    <w:p w14:paraId="12A3AD4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(4)护理员工作中做到细致、耐心，主动、热情；使用文明用语；</w:t>
      </w:r>
    </w:p>
    <w:p w14:paraId="2C3A51F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(5)护理员上岗着工服，带工牌，个人仪表卫生、清洁、整齐，做到头发、胡须、指甲短，身体及口腔无异味；</w:t>
      </w:r>
    </w:p>
    <w:p w14:paraId="5466F8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(6)护理员工作中见到医务人员、管理人员主动打招呼；</w:t>
      </w:r>
    </w:p>
    <w:p w14:paraId="0D5622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(7)护理员工作期间禁止玩手机；</w:t>
      </w:r>
    </w:p>
    <w:p w14:paraId="3C748B5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(8)护理员禁止与患者、家属、医务人员及院里领导发生争吵、身体接触；</w:t>
      </w:r>
    </w:p>
    <w:p w14:paraId="5E126238">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(9)护理员要耐心听取患者、家属及医务人员建议，有问题及时上报主管；</w:t>
      </w:r>
    </w:p>
    <w:p w14:paraId="024EE17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(10)护理员不得在病区做饭、看电视、会客、扎堆聊天、大声喧哗、随意外出，没有照护病人时不得留宿病房，不得以各种方式向病人及家属索要财物。</w:t>
      </w:r>
    </w:p>
    <w:p w14:paraId="272CC4B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(11)护理员不参与医疗有关事宜，不对病情及医疗事宜发表意见，保护患者隐私。</w:t>
      </w:r>
    </w:p>
    <w:p w14:paraId="7B834738">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4、服务要求</w:t>
      </w:r>
    </w:p>
    <w:p w14:paraId="76501CA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4.1、提供培训方案,包括但不限于以下内容：每年有培训计划，每月对护理员进行理论、技能培训，重点包括职业道德、医院基本工作程序、规章制度及住院患者日常陪护照料等。培训内容：（1）职业道德；（2）工作制度、职责和流程；（3）消毒隔离基本知识；（4）患者卫生处置、生活护理和饮食种类；（5）护理等级要求；（6）常见卧位及意义，更换卧位方法；（7）健康教育相关知识和沟通交流技巧；（8）手卫生、消防知识、CPR；（9）患者转运、搬运方法及注意事项；（10）如何协助各种标本采集。培训方式为上岗前培训和上岗后定期强化培训相结合。</w:t>
      </w:r>
    </w:p>
    <w:p w14:paraId="7A68803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4.2、提供无陪护病房照护实施方案,方案合理、切实有效，适用本项目。</w:t>
      </w:r>
    </w:p>
    <w:p w14:paraId="160AE14C">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4.3、提供服务投诉处理方案。（包括处理投诉机构、投诉处理具体流程、信息反馈处理流程及时间等）</w:t>
      </w:r>
    </w:p>
    <w:p w14:paraId="3A71E01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4.4、中标人应在采购人单位内派驻护理员管理人员，管理人员服从护理部领导或者指定负责人的指导，对人员应严格管理，做到24小时昼夜服务，新派护理员需在2小时到位，服从病区护士长及护士的管理，确保陪护质量。</w:t>
      </w:r>
    </w:p>
    <w:p w14:paraId="3DAE0CF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4.5、护理员调配：护理员的轮班及休息时间由派遣公司自行安排，遇到人员紧缺的情况，中标人必须进行调配，确保有人在岗。</w:t>
      </w:r>
    </w:p>
    <w:p w14:paraId="59347EA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4.6、中标人应提供临时突发时间的应急处置措施，如遇到护理员请假、突发性等缺人情况，由中标人统筹安排，保证有人在岗。</w:t>
      </w:r>
    </w:p>
    <w:p w14:paraId="0D5B4668">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二、收费标准及服务模式</w:t>
      </w:r>
    </w:p>
    <w:tbl>
      <w:tblPr>
        <w:tblStyle w:val="20"/>
        <w:tblW w:w="0" w:type="auto"/>
        <w:tblInd w:w="-30" w:type="dxa"/>
        <w:tblLayout w:type="autofit"/>
        <w:tblCellMar>
          <w:top w:w="0" w:type="dxa"/>
          <w:left w:w="108" w:type="dxa"/>
          <w:bottom w:w="0" w:type="dxa"/>
          <w:right w:w="108" w:type="dxa"/>
        </w:tblCellMar>
      </w:tblPr>
      <w:tblGrid>
        <w:gridCol w:w="1445"/>
        <w:gridCol w:w="1357"/>
        <w:gridCol w:w="4931"/>
        <w:gridCol w:w="819"/>
      </w:tblGrid>
      <w:tr w14:paraId="798D9339">
        <w:tblPrEx>
          <w:tblCellMar>
            <w:top w:w="0" w:type="dxa"/>
            <w:left w:w="108" w:type="dxa"/>
            <w:bottom w:w="0" w:type="dxa"/>
            <w:right w:w="108" w:type="dxa"/>
          </w:tblCellMar>
        </w:tblPrEx>
        <w:trPr>
          <w:trHeight w:val="1094" w:hRule="atLeast"/>
        </w:trPr>
        <w:tc>
          <w:tcPr>
            <w:tcW w:w="0" w:type="auto"/>
            <w:gridSpan w:val="4"/>
            <w:tcBorders>
              <w:top w:val="nil"/>
              <w:left w:val="nil"/>
              <w:bottom w:val="nil"/>
              <w:right w:val="nil"/>
            </w:tcBorders>
          </w:tcPr>
          <w:p w14:paraId="109EFCF0">
            <w:pPr>
              <w:widowControl w:val="0"/>
              <w:autoSpaceDE w:val="0"/>
              <w:autoSpaceDN w:val="0"/>
              <w:snapToGrid/>
              <w:spacing w:after="0"/>
              <w:rPr>
                <w:rFonts w:ascii="仿宋" w:hAnsi="Arial" w:eastAsia="仿宋" w:cs="仿宋"/>
                <w:color w:val="000000"/>
                <w:sz w:val="24"/>
                <w:szCs w:val="24"/>
              </w:rPr>
            </w:pPr>
            <w:r>
              <w:rPr>
                <w:rFonts w:ascii="仿宋" w:hAnsi="Arial" w:eastAsia="仿宋" w:cs="仿宋"/>
                <w:color w:val="000000"/>
                <w:sz w:val="24"/>
                <w:szCs w:val="24"/>
              </w:rPr>
              <w:t xml:space="preserve">   </w:t>
            </w:r>
            <w:r>
              <w:rPr>
                <w:rFonts w:hint="eastAsia" w:ascii="仿宋" w:hAnsi="Arial" w:eastAsia="仿宋" w:cs="仿宋"/>
                <w:color w:val="000000"/>
                <w:sz w:val="24"/>
                <w:szCs w:val="24"/>
              </w:rPr>
              <w:t>根据福建省卫健委福建省人力资源和社会保障厅福建省物价局联合下发《关于开展规范医院护工管理试点工作的意见》闽卫医【</w:t>
            </w:r>
            <w:r>
              <w:rPr>
                <w:rFonts w:ascii="仿宋" w:hAnsi="Arial" w:eastAsia="仿宋" w:cs="仿宋"/>
                <w:color w:val="000000"/>
                <w:sz w:val="24"/>
                <w:szCs w:val="24"/>
              </w:rPr>
              <w:t>2013</w:t>
            </w:r>
            <w:r>
              <w:rPr>
                <w:rFonts w:hint="eastAsia" w:ascii="仿宋" w:hAnsi="Arial" w:eastAsia="仿宋" w:cs="仿宋"/>
                <w:color w:val="000000"/>
                <w:sz w:val="24"/>
                <w:szCs w:val="24"/>
              </w:rPr>
              <w:t>】</w:t>
            </w:r>
            <w:r>
              <w:rPr>
                <w:rFonts w:ascii="仿宋" w:hAnsi="Arial" w:eastAsia="仿宋" w:cs="仿宋"/>
                <w:color w:val="000000"/>
                <w:sz w:val="24"/>
                <w:szCs w:val="24"/>
              </w:rPr>
              <w:t>68</w:t>
            </w:r>
            <w:r>
              <w:rPr>
                <w:rFonts w:hint="eastAsia" w:ascii="仿宋" w:hAnsi="Arial" w:eastAsia="仿宋" w:cs="仿宋"/>
                <w:color w:val="000000"/>
                <w:sz w:val="24"/>
                <w:szCs w:val="24"/>
              </w:rPr>
              <w:t>号文件精神并结合福建医科大学附属协和医院、福建医科大学附属第一医院、福建省第三人民医院等三级公立医院护理员收费标准，拟定我院护理员收费标准如下：</w:t>
            </w:r>
          </w:p>
        </w:tc>
      </w:tr>
      <w:tr w14:paraId="42A32B77">
        <w:tblPrEx>
          <w:tblCellMar>
            <w:top w:w="0" w:type="dxa"/>
            <w:left w:w="108" w:type="dxa"/>
            <w:bottom w:w="0" w:type="dxa"/>
            <w:right w:w="108" w:type="dxa"/>
          </w:tblCellMar>
        </w:tblPrEx>
        <w:trPr>
          <w:trHeight w:val="362" w:hRule="atLeast"/>
        </w:trPr>
        <w:tc>
          <w:tcPr>
            <w:tcW w:w="0" w:type="auto"/>
            <w:gridSpan w:val="4"/>
            <w:tcBorders>
              <w:top w:val="single" w:color="auto" w:sz="6" w:space="0"/>
              <w:left w:val="single" w:color="auto" w:sz="6" w:space="0"/>
              <w:bottom w:val="single" w:color="auto" w:sz="6" w:space="0"/>
              <w:right w:val="single" w:color="auto" w:sz="6" w:space="0"/>
            </w:tcBorders>
          </w:tcPr>
          <w:p w14:paraId="126B8A3E">
            <w:pPr>
              <w:widowControl w:val="0"/>
              <w:autoSpaceDE w:val="0"/>
              <w:autoSpaceDN w:val="0"/>
              <w:snapToGrid/>
              <w:spacing w:after="0"/>
              <w:jc w:val="center"/>
              <w:rPr>
                <w:rFonts w:hint="eastAsia" w:ascii="仿宋" w:hAnsi="Arial" w:eastAsia="仿宋" w:cs="仿宋"/>
                <w:b/>
                <w:bCs/>
                <w:color w:val="000000"/>
                <w:sz w:val="28"/>
                <w:szCs w:val="28"/>
              </w:rPr>
            </w:pPr>
            <w:r>
              <w:rPr>
                <w:rFonts w:hint="eastAsia" w:ascii="仿宋" w:hAnsi="Arial" w:eastAsia="仿宋" w:cs="仿宋"/>
                <w:b/>
                <w:bCs/>
                <w:color w:val="000000"/>
                <w:sz w:val="32"/>
                <w:szCs w:val="32"/>
              </w:rPr>
              <w:t>福建省肿瘤医院照护护理模式及收费标准</w:t>
            </w:r>
          </w:p>
        </w:tc>
      </w:tr>
      <w:tr w14:paraId="017F981A">
        <w:tblPrEx>
          <w:tblCellMar>
            <w:top w:w="0" w:type="dxa"/>
            <w:left w:w="108" w:type="dxa"/>
            <w:bottom w:w="0" w:type="dxa"/>
            <w:right w:w="108" w:type="dxa"/>
          </w:tblCellMar>
        </w:tblPrEx>
        <w:trPr>
          <w:trHeight w:val="362" w:hRule="atLeast"/>
        </w:trPr>
        <w:tc>
          <w:tcPr>
            <w:tcW w:w="0" w:type="auto"/>
            <w:tcBorders>
              <w:top w:val="single" w:color="auto" w:sz="6" w:space="0"/>
              <w:left w:val="single" w:color="auto" w:sz="6" w:space="0"/>
              <w:bottom w:val="single" w:color="auto" w:sz="6" w:space="0"/>
              <w:right w:val="single" w:color="auto" w:sz="6" w:space="0"/>
            </w:tcBorders>
          </w:tcPr>
          <w:p w14:paraId="5280A959">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级别</w:t>
            </w:r>
          </w:p>
        </w:tc>
        <w:tc>
          <w:tcPr>
            <w:tcW w:w="0" w:type="auto"/>
            <w:tcBorders>
              <w:top w:val="single" w:color="auto" w:sz="6" w:space="0"/>
              <w:left w:val="single" w:color="auto" w:sz="6" w:space="0"/>
              <w:bottom w:val="single" w:color="auto" w:sz="6" w:space="0"/>
              <w:right w:val="single" w:color="auto" w:sz="6" w:space="0"/>
            </w:tcBorders>
          </w:tcPr>
          <w:p w14:paraId="2CED9626">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适用范围</w:t>
            </w:r>
          </w:p>
        </w:tc>
        <w:tc>
          <w:tcPr>
            <w:tcW w:w="0" w:type="auto"/>
            <w:tcBorders>
              <w:top w:val="single" w:color="auto" w:sz="6" w:space="0"/>
              <w:left w:val="single" w:color="auto" w:sz="6" w:space="0"/>
              <w:bottom w:val="single" w:color="auto" w:sz="6" w:space="0"/>
              <w:right w:val="single" w:color="auto" w:sz="6" w:space="0"/>
            </w:tcBorders>
          </w:tcPr>
          <w:p w14:paraId="31A5E8FA">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服务内容</w:t>
            </w:r>
          </w:p>
        </w:tc>
        <w:tc>
          <w:tcPr>
            <w:tcW w:w="0" w:type="auto"/>
            <w:tcBorders>
              <w:top w:val="single" w:color="auto" w:sz="6" w:space="0"/>
              <w:left w:val="single" w:color="auto" w:sz="6" w:space="0"/>
              <w:bottom w:val="single" w:color="auto" w:sz="6" w:space="0"/>
              <w:right w:val="single" w:color="auto" w:sz="6" w:space="0"/>
            </w:tcBorders>
          </w:tcPr>
          <w:p w14:paraId="44E78900">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限价</w:t>
            </w:r>
          </w:p>
        </w:tc>
      </w:tr>
      <w:tr w14:paraId="0812D937">
        <w:tblPrEx>
          <w:tblCellMar>
            <w:top w:w="0" w:type="dxa"/>
            <w:left w:w="108" w:type="dxa"/>
            <w:bottom w:w="0" w:type="dxa"/>
            <w:right w:w="108" w:type="dxa"/>
          </w:tblCellMar>
        </w:tblPrEx>
        <w:trPr>
          <w:trHeight w:val="3127" w:hRule="atLeast"/>
        </w:trPr>
        <w:tc>
          <w:tcPr>
            <w:tcW w:w="0" w:type="auto"/>
            <w:tcBorders>
              <w:top w:val="single" w:color="auto" w:sz="6" w:space="0"/>
              <w:left w:val="single" w:color="auto" w:sz="6" w:space="0"/>
              <w:bottom w:val="single" w:color="auto" w:sz="6" w:space="0"/>
              <w:right w:val="single" w:color="auto" w:sz="6" w:space="0"/>
            </w:tcBorders>
          </w:tcPr>
          <w:p w14:paraId="16FABB6B">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C</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p>
          <w:p w14:paraId="2BF4C487">
            <w:pPr>
              <w:widowControl w:val="0"/>
              <w:autoSpaceDE w:val="0"/>
              <w:autoSpaceDN w:val="0"/>
              <w:snapToGrid/>
              <w:spacing w:after="0"/>
              <w:jc w:val="center"/>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（一对多）</w:t>
            </w:r>
          </w:p>
        </w:tc>
        <w:tc>
          <w:tcPr>
            <w:tcW w:w="0" w:type="auto"/>
            <w:tcBorders>
              <w:top w:val="single" w:color="auto" w:sz="6" w:space="0"/>
              <w:left w:val="single" w:color="auto" w:sz="6" w:space="0"/>
              <w:bottom w:val="single" w:color="auto" w:sz="6" w:space="0"/>
              <w:right w:val="single" w:color="auto" w:sz="6" w:space="0"/>
            </w:tcBorders>
          </w:tcPr>
          <w:p w14:paraId="6824270D">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部分生活不能自理患者（能正常如厕）</w:t>
            </w:r>
          </w:p>
        </w:tc>
        <w:tc>
          <w:tcPr>
            <w:tcW w:w="0" w:type="auto"/>
            <w:tcBorders>
              <w:top w:val="single" w:color="auto" w:sz="6" w:space="0"/>
              <w:left w:val="single" w:color="auto" w:sz="6" w:space="0"/>
              <w:bottom w:val="single" w:color="auto" w:sz="6" w:space="0"/>
              <w:right w:val="single" w:color="auto" w:sz="6" w:space="0"/>
            </w:tcBorders>
          </w:tcPr>
          <w:p w14:paraId="4DFB022A">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318EDEB9">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保证患者清洁：协助患者洗漱、擦身、更换衣裤、洗头、修剪指甲、剃胡须。</w:t>
            </w:r>
          </w:p>
          <w:p w14:paraId="51033466">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促进患者舒适：协助患者打饭、进食、饮水，协助患者翻身、拍背。</w:t>
            </w:r>
          </w:p>
          <w:p w14:paraId="02FE1B0E">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维护患者安全：协助患者床椅移动、协助患者使用轮椅、平车等转运工具。</w:t>
            </w:r>
          </w:p>
          <w:p w14:paraId="69608E13">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r>
              <w:rPr>
                <w:rFonts w:ascii="仿宋_GB2312" w:hAnsi="Arial" w:eastAsia="仿宋_GB2312" w:cs="仿宋_GB2312"/>
                <w:color w:val="000000"/>
                <w:sz w:val="24"/>
                <w:szCs w:val="24"/>
              </w:rPr>
              <w:t xml:space="preserve">                                  </w:t>
            </w:r>
            <w:r>
              <w:rPr>
                <w:rFonts w:ascii="仿宋_GB2312" w:hAnsi="Arial" w:eastAsia="仿宋_GB2312" w:cs="仿宋_GB2312"/>
                <w:b/>
                <w:bCs/>
                <w:color w:val="000000"/>
                <w:sz w:val="24"/>
                <w:szCs w:val="24"/>
              </w:rPr>
              <w:t>6.</w:t>
            </w:r>
            <w:r>
              <w:rPr>
                <w:rFonts w:hint="eastAsia" w:ascii="仿宋_GB2312" w:hAnsi="Arial" w:eastAsia="仿宋_GB2312" w:cs="仿宋_GB2312"/>
                <w:b/>
                <w:bCs/>
                <w:color w:val="000000"/>
                <w:sz w:val="24"/>
                <w:szCs w:val="24"/>
              </w:rPr>
              <w:t>每班定时巡视，</w:t>
            </w:r>
            <w:r>
              <w:rPr>
                <w:rFonts w:ascii="仿宋_GB2312" w:hAnsi="Arial" w:eastAsia="仿宋_GB2312" w:cs="仿宋_GB2312"/>
                <w:b/>
                <w:bCs/>
                <w:color w:val="000000"/>
                <w:sz w:val="24"/>
                <w:szCs w:val="24"/>
              </w:rPr>
              <w:t>12</w:t>
            </w:r>
            <w:r>
              <w:rPr>
                <w:rFonts w:hint="eastAsia" w:ascii="仿宋_GB2312" w:hAnsi="Arial" w:eastAsia="仿宋_GB2312" w:cs="仿宋_GB2312"/>
                <w:b/>
                <w:bCs/>
                <w:color w:val="000000"/>
                <w:sz w:val="24"/>
                <w:szCs w:val="24"/>
              </w:rPr>
              <w:t>小时轮班服务。</w:t>
            </w:r>
          </w:p>
          <w:p w14:paraId="38374C44">
            <w:pPr>
              <w:widowControl w:val="0"/>
              <w:autoSpaceDE w:val="0"/>
              <w:autoSpaceDN w:val="0"/>
              <w:snapToGrid/>
              <w:spacing w:after="0"/>
              <w:rPr>
                <w:rFonts w:ascii="仿宋_GB2312" w:hAnsi="Arial"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tcPr>
          <w:p w14:paraId="3C75A39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180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w:t>
            </w:r>
          </w:p>
        </w:tc>
      </w:tr>
      <w:tr w14:paraId="6EBAA5F9">
        <w:tblPrEx>
          <w:tblCellMar>
            <w:top w:w="0" w:type="dxa"/>
            <w:left w:w="108" w:type="dxa"/>
            <w:bottom w:w="0" w:type="dxa"/>
            <w:right w:w="108" w:type="dxa"/>
          </w:tblCellMar>
        </w:tblPrEx>
        <w:trPr>
          <w:trHeight w:val="3322" w:hRule="atLeast"/>
        </w:trPr>
        <w:tc>
          <w:tcPr>
            <w:tcW w:w="0" w:type="auto"/>
            <w:tcBorders>
              <w:top w:val="single" w:color="auto" w:sz="6" w:space="0"/>
              <w:left w:val="single" w:color="auto" w:sz="6" w:space="0"/>
              <w:bottom w:val="single" w:color="auto" w:sz="6" w:space="0"/>
              <w:right w:val="single" w:color="auto" w:sz="6" w:space="0"/>
            </w:tcBorders>
          </w:tcPr>
          <w:p w14:paraId="5623CD46">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B</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（一对一）</w:t>
            </w:r>
          </w:p>
        </w:tc>
        <w:tc>
          <w:tcPr>
            <w:tcW w:w="0" w:type="auto"/>
            <w:tcBorders>
              <w:top w:val="single" w:color="auto" w:sz="6" w:space="0"/>
              <w:left w:val="single" w:color="auto" w:sz="6" w:space="0"/>
              <w:bottom w:val="single" w:color="auto" w:sz="6" w:space="0"/>
              <w:right w:val="single" w:color="auto" w:sz="6" w:space="0"/>
            </w:tcBorders>
          </w:tcPr>
          <w:p w14:paraId="3686DC68">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生活基本不能自理患者（需协助如厕）</w:t>
            </w:r>
          </w:p>
        </w:tc>
        <w:tc>
          <w:tcPr>
            <w:tcW w:w="0" w:type="auto"/>
            <w:tcBorders>
              <w:top w:val="single" w:color="auto" w:sz="6" w:space="0"/>
              <w:left w:val="single" w:color="auto" w:sz="6" w:space="0"/>
              <w:bottom w:val="single" w:color="auto" w:sz="6" w:space="0"/>
              <w:right w:val="single" w:color="auto" w:sz="6" w:space="0"/>
            </w:tcBorders>
          </w:tcPr>
          <w:p w14:paraId="6EC263C9">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327B065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保证患者清洁：协助患者洗漱、擦身、更换衣裤、洗头、修剪指甲、剃胡须，</w:t>
            </w:r>
            <w:r>
              <w:rPr>
                <w:rFonts w:hint="eastAsia" w:ascii="仿宋_GB2312" w:hAnsi="Arial" w:eastAsia="仿宋_GB2312" w:cs="仿宋_GB2312"/>
                <w:b/>
                <w:bCs/>
                <w:color w:val="000000"/>
                <w:sz w:val="24"/>
                <w:szCs w:val="24"/>
              </w:rPr>
              <w:t>为二便失禁患者做好会阴部、肛周的清洁。</w:t>
            </w:r>
          </w:p>
          <w:p w14:paraId="34AEF5D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促进患者舒适：协助患者打饭、进食、饮水，协助患者翻身、拍背。</w:t>
            </w:r>
          </w:p>
          <w:p w14:paraId="371B43AE">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维护患者安全：协助患者</w:t>
            </w:r>
            <w:r>
              <w:rPr>
                <w:rFonts w:hint="eastAsia" w:ascii="仿宋_GB2312" w:hAnsi="Arial" w:eastAsia="仿宋_GB2312" w:cs="仿宋_GB2312"/>
                <w:b/>
                <w:bCs/>
                <w:color w:val="000000"/>
                <w:sz w:val="24"/>
                <w:szCs w:val="24"/>
              </w:rPr>
              <w:t>如厕</w:t>
            </w:r>
            <w:r>
              <w:rPr>
                <w:rFonts w:hint="eastAsia" w:ascii="仿宋_GB2312" w:hAnsi="Arial" w:eastAsia="仿宋_GB2312" w:cs="仿宋_GB2312"/>
                <w:color w:val="000000"/>
                <w:sz w:val="24"/>
                <w:szCs w:val="24"/>
              </w:rPr>
              <w:t>、床椅移动、协助患者使用轮椅、平车等转运工具。</w:t>
            </w:r>
          </w:p>
          <w:p w14:paraId="2C00319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ascii="仿宋_GB2312" w:hAnsi="Arial" w:eastAsia="仿宋_GB2312" w:cs="仿宋_GB2312"/>
                <w:b/>
                <w:bCs/>
                <w:color w:val="000000"/>
                <w:sz w:val="24"/>
                <w:szCs w:val="24"/>
              </w:rPr>
              <w:t>24</w:t>
            </w:r>
            <w:r>
              <w:rPr>
                <w:rFonts w:hint="eastAsia" w:ascii="仿宋_GB2312" w:hAnsi="Arial" w:eastAsia="仿宋_GB2312" w:cs="仿宋_GB2312"/>
                <w:b/>
                <w:bCs/>
                <w:color w:val="000000"/>
                <w:sz w:val="24"/>
                <w:szCs w:val="24"/>
              </w:rPr>
              <w:t>小时陪护，</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p>
          <w:p w14:paraId="1E7C5836">
            <w:pPr>
              <w:widowControl w:val="0"/>
              <w:autoSpaceDE w:val="0"/>
              <w:autoSpaceDN w:val="0"/>
              <w:snapToGrid/>
              <w:spacing w:after="0"/>
              <w:rPr>
                <w:rFonts w:ascii="仿宋_GB2312" w:hAnsi="Arial" w:eastAsia="仿宋_GB2312" w:cs="仿宋_GB2312"/>
                <w:b/>
                <w:bCs/>
                <w:color w:val="000000"/>
                <w:sz w:val="24"/>
                <w:szCs w:val="24"/>
              </w:rPr>
            </w:pPr>
            <w:r>
              <w:rPr>
                <w:rFonts w:ascii="仿宋_GB2312" w:hAnsi="Arial" w:eastAsia="仿宋_GB2312" w:cs="仿宋_GB2312"/>
                <w:b/>
                <w:bCs/>
                <w:color w:val="000000"/>
                <w:sz w:val="24"/>
                <w:szCs w:val="24"/>
              </w:rPr>
              <w:t>6.</w:t>
            </w:r>
            <w:r>
              <w:rPr>
                <w:rFonts w:hint="eastAsia" w:ascii="仿宋_GB2312" w:hAnsi="Arial" w:eastAsia="仿宋_GB2312" w:cs="仿宋_GB2312"/>
                <w:b/>
                <w:bCs/>
                <w:color w:val="000000"/>
                <w:sz w:val="24"/>
                <w:szCs w:val="24"/>
              </w:rPr>
              <w:t>陪同患者进行相关检查。</w:t>
            </w:r>
          </w:p>
        </w:tc>
        <w:tc>
          <w:tcPr>
            <w:tcW w:w="0" w:type="auto"/>
            <w:tcBorders>
              <w:top w:val="single" w:color="auto" w:sz="6" w:space="0"/>
              <w:left w:val="single" w:color="auto" w:sz="6" w:space="0"/>
              <w:bottom w:val="single" w:color="auto" w:sz="6" w:space="0"/>
              <w:right w:val="single" w:color="auto" w:sz="6" w:space="0"/>
            </w:tcBorders>
          </w:tcPr>
          <w:p w14:paraId="2350D2FB">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240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w:t>
            </w:r>
          </w:p>
        </w:tc>
      </w:tr>
      <w:tr w14:paraId="503E1990">
        <w:tblPrEx>
          <w:tblCellMar>
            <w:top w:w="0" w:type="dxa"/>
            <w:left w:w="108" w:type="dxa"/>
            <w:bottom w:w="0" w:type="dxa"/>
            <w:right w:w="108" w:type="dxa"/>
          </w:tblCellMar>
        </w:tblPrEx>
        <w:trPr>
          <w:trHeight w:val="4205" w:hRule="atLeast"/>
        </w:trPr>
        <w:tc>
          <w:tcPr>
            <w:tcW w:w="0" w:type="auto"/>
            <w:tcBorders>
              <w:top w:val="single" w:color="auto" w:sz="6" w:space="0"/>
              <w:left w:val="single" w:color="auto" w:sz="6" w:space="0"/>
              <w:bottom w:val="single" w:color="auto" w:sz="6" w:space="0"/>
              <w:right w:val="single" w:color="auto" w:sz="6" w:space="0"/>
            </w:tcBorders>
          </w:tcPr>
          <w:p w14:paraId="097E238B">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A</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（一对一）</w:t>
            </w:r>
          </w:p>
        </w:tc>
        <w:tc>
          <w:tcPr>
            <w:tcW w:w="0" w:type="auto"/>
            <w:tcBorders>
              <w:top w:val="single" w:color="auto" w:sz="6" w:space="0"/>
              <w:left w:val="single" w:color="auto" w:sz="6" w:space="0"/>
              <w:bottom w:val="single" w:color="auto" w:sz="6" w:space="0"/>
              <w:right w:val="single" w:color="auto" w:sz="6" w:space="0"/>
            </w:tcBorders>
          </w:tcPr>
          <w:p w14:paraId="47263621">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生活完全不能自理的患者</w:t>
            </w:r>
          </w:p>
        </w:tc>
        <w:tc>
          <w:tcPr>
            <w:tcW w:w="0" w:type="auto"/>
            <w:tcBorders>
              <w:top w:val="single" w:color="auto" w:sz="6" w:space="0"/>
              <w:left w:val="single" w:color="auto" w:sz="6" w:space="0"/>
              <w:bottom w:val="single" w:color="auto" w:sz="6" w:space="0"/>
              <w:right w:val="single" w:color="auto" w:sz="6" w:space="0"/>
            </w:tcBorders>
          </w:tcPr>
          <w:p w14:paraId="1FF77764">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73AC044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w:t>
            </w:r>
            <w:r>
              <w:rPr>
                <w:rFonts w:hint="eastAsia" w:ascii="仿宋_GB2312" w:hAnsi="Arial" w:eastAsia="仿宋_GB2312" w:cs="仿宋_GB2312"/>
                <w:b/>
                <w:bCs/>
                <w:color w:val="000000"/>
                <w:sz w:val="24"/>
                <w:szCs w:val="24"/>
              </w:rPr>
              <w:t>完成</w:t>
            </w:r>
            <w:r>
              <w:rPr>
                <w:rFonts w:hint="eastAsia" w:ascii="仿宋_GB2312" w:hAnsi="Arial" w:eastAsia="仿宋_GB2312" w:cs="仿宋_GB2312"/>
                <w:color w:val="000000"/>
                <w:sz w:val="24"/>
                <w:szCs w:val="24"/>
              </w:rPr>
              <w:t>患者洗漱、擦身、更换衣裤、洗头、修剪指甲、剃胡须，为二便失禁患者做好会阴部、肛周的清洁。</w:t>
            </w:r>
          </w:p>
          <w:p w14:paraId="292D068A">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w:t>
            </w:r>
            <w:r>
              <w:rPr>
                <w:rFonts w:hint="eastAsia" w:ascii="仿宋_GB2312" w:hAnsi="Arial" w:eastAsia="仿宋_GB2312" w:cs="仿宋_GB2312"/>
                <w:b/>
                <w:bCs/>
                <w:color w:val="000000"/>
                <w:sz w:val="24"/>
                <w:szCs w:val="24"/>
              </w:rPr>
              <w:t>完成</w:t>
            </w:r>
            <w:r>
              <w:rPr>
                <w:rFonts w:hint="eastAsia" w:ascii="仿宋_GB2312" w:hAnsi="Arial" w:eastAsia="仿宋_GB2312" w:cs="仿宋_GB2312"/>
                <w:color w:val="000000"/>
                <w:sz w:val="24"/>
                <w:szCs w:val="24"/>
              </w:rPr>
              <w:t>患者的进食、饮水、翻身、拍背。</w:t>
            </w:r>
          </w:p>
          <w:p w14:paraId="3F60A19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w:t>
            </w:r>
            <w:r>
              <w:rPr>
                <w:rFonts w:hint="eastAsia" w:ascii="仿宋_GB2312" w:hAnsi="Arial" w:eastAsia="仿宋_GB2312" w:cs="仿宋_GB2312"/>
                <w:b/>
                <w:bCs/>
                <w:color w:val="000000"/>
                <w:sz w:val="24"/>
                <w:szCs w:val="24"/>
              </w:rPr>
              <w:t>为患者完成</w:t>
            </w:r>
            <w:r>
              <w:rPr>
                <w:rFonts w:hint="eastAsia" w:ascii="仿宋_GB2312" w:hAnsi="Arial" w:eastAsia="仿宋_GB2312" w:cs="仿宋_GB2312"/>
                <w:color w:val="000000"/>
                <w:sz w:val="24"/>
                <w:szCs w:val="24"/>
              </w:rPr>
              <w:t>如厕、床椅移动、使用轮椅、平车等转运工具。</w:t>
            </w:r>
          </w:p>
          <w:p w14:paraId="7924064D">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ascii="仿宋_GB2312" w:hAnsi="Arial" w:eastAsia="仿宋_GB2312" w:cs="仿宋_GB2312"/>
                <w:b/>
                <w:bCs/>
                <w:color w:val="000000"/>
                <w:sz w:val="24"/>
                <w:szCs w:val="24"/>
              </w:rPr>
              <w:t>24</w:t>
            </w:r>
            <w:r>
              <w:rPr>
                <w:rFonts w:hint="eastAsia" w:ascii="仿宋_GB2312" w:hAnsi="Arial" w:eastAsia="仿宋_GB2312" w:cs="仿宋_GB2312"/>
                <w:b/>
                <w:bCs/>
                <w:color w:val="000000"/>
                <w:sz w:val="24"/>
                <w:szCs w:val="24"/>
              </w:rPr>
              <w:t>小时陪护，</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r>
              <w:rPr>
                <w:rFonts w:ascii="仿宋_GB2312" w:hAnsi="Arial" w:eastAsia="仿宋_GB2312" w:cs="仿宋_GB2312"/>
                <w:color w:val="000000"/>
                <w:sz w:val="24"/>
                <w:szCs w:val="24"/>
              </w:rPr>
              <w:t xml:space="preserve">                                6</w:t>
            </w:r>
            <w:r>
              <w:rPr>
                <w:rFonts w:ascii="仿宋_GB2312" w:hAnsi="Arial" w:eastAsia="仿宋_GB2312" w:cs="仿宋_GB2312"/>
                <w:b/>
                <w:bCs/>
                <w:color w:val="000000"/>
                <w:sz w:val="24"/>
                <w:szCs w:val="24"/>
              </w:rPr>
              <w:t>.</w:t>
            </w:r>
            <w:r>
              <w:rPr>
                <w:rFonts w:hint="eastAsia" w:ascii="仿宋_GB2312" w:hAnsi="Arial" w:eastAsia="仿宋_GB2312" w:cs="仿宋_GB2312"/>
                <w:b/>
                <w:bCs/>
                <w:color w:val="000000"/>
                <w:sz w:val="24"/>
                <w:szCs w:val="24"/>
              </w:rPr>
              <w:t>陪同患者进行相关检查。</w:t>
            </w:r>
          </w:p>
          <w:p w14:paraId="7612C01D">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有特殊需要的，视患者情况双方洽谈面议而定，价格在</w:t>
            </w:r>
            <w:r>
              <w:rPr>
                <w:rFonts w:ascii="仿宋_GB2312" w:hAnsi="Arial" w:eastAsia="仿宋_GB2312" w:cs="仿宋_GB2312"/>
                <w:color w:val="000000"/>
                <w:sz w:val="24"/>
                <w:szCs w:val="24"/>
              </w:rPr>
              <w:t>260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天的基础上，有以下几种情况的，一项服务加收</w:t>
            </w:r>
            <w:r>
              <w:rPr>
                <w:rFonts w:ascii="仿宋_GB2312" w:hAnsi="Arial" w:eastAsia="仿宋_GB2312" w:cs="仿宋_GB2312"/>
                <w:color w:val="000000"/>
                <w:sz w:val="24"/>
                <w:szCs w:val="24"/>
              </w:rPr>
              <w:t>10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天，不超过</w:t>
            </w:r>
            <w:r>
              <w:rPr>
                <w:rFonts w:ascii="仿宋_GB2312" w:hAnsi="Arial" w:eastAsia="仿宋_GB2312" w:cs="仿宋_GB2312"/>
                <w:color w:val="000000"/>
                <w:sz w:val="24"/>
                <w:szCs w:val="24"/>
              </w:rPr>
              <w:t>300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天。①危重患者②特殊病情患者③患者家属有特殊要求④高龄患者⑤体重严重超标。</w:t>
            </w:r>
          </w:p>
        </w:tc>
        <w:tc>
          <w:tcPr>
            <w:tcW w:w="0" w:type="auto"/>
            <w:tcBorders>
              <w:top w:val="single" w:color="auto" w:sz="6" w:space="0"/>
              <w:left w:val="single" w:color="auto" w:sz="6" w:space="0"/>
              <w:bottom w:val="single" w:color="auto" w:sz="6" w:space="0"/>
              <w:right w:val="single" w:color="auto" w:sz="6" w:space="0"/>
            </w:tcBorders>
          </w:tcPr>
          <w:p w14:paraId="48611A63">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260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-300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w:t>
            </w:r>
          </w:p>
        </w:tc>
      </w:tr>
    </w:tbl>
    <w:p w14:paraId="394DEF84">
      <w:pPr>
        <w:pStyle w:val="2"/>
        <w:rPr>
          <w:highlight w:val="yellow"/>
        </w:rPr>
      </w:pPr>
    </w:p>
    <w:p w14:paraId="476A53E4">
      <w:pPr>
        <w:spacing w:after="156" w:afterLines="50" w:line="468" w:lineRule="exac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供应商需承诺若中标则按照此收费标准执行，否则做无效投标处理。</w:t>
      </w:r>
    </w:p>
    <w:p w14:paraId="55213CE6">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三、服务期限及服务地点</w:t>
      </w:r>
    </w:p>
    <w:p w14:paraId="772A330C">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1、服务期：1年；</w:t>
      </w:r>
    </w:p>
    <w:p w14:paraId="28F537FD">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2、服务地点：</w:t>
      </w:r>
      <w:r>
        <w:rPr>
          <w:rFonts w:hint="eastAsia" w:cs="宋体" w:asciiTheme="minorEastAsia" w:hAnsiTheme="minorEastAsia" w:eastAsiaTheme="minorEastAsia"/>
          <w:sz w:val="24"/>
          <w:u w:val="single"/>
        </w:rPr>
        <w:t>福建省肿瘤医院</w:t>
      </w:r>
    </w:p>
    <w:p w14:paraId="5768848A">
      <w:pPr>
        <w:spacing w:after="156" w:afterLines="50" w:line="468" w:lineRule="exact"/>
        <w:rPr>
          <w:rFonts w:hint="eastAsia" w:asciiTheme="minorEastAsia" w:hAnsiTheme="minorEastAsia" w:eastAsiaTheme="minorEastAsia"/>
          <w:b/>
          <w:bCs/>
          <w:sz w:val="30"/>
          <w:szCs w:val="30"/>
        </w:rPr>
      </w:pPr>
      <w:bookmarkStart w:id="2" w:name="_Toc169944023"/>
      <w:bookmarkStart w:id="3" w:name="_Toc146679650"/>
      <w:bookmarkStart w:id="4" w:name="_Toc105315000"/>
      <w:bookmarkStart w:id="5" w:name="_Toc145393563"/>
      <w:bookmarkStart w:id="6" w:name="_Toc189832470"/>
      <w:bookmarkStart w:id="7" w:name="_Toc90180873"/>
      <w:bookmarkStart w:id="8" w:name="_Toc169877476"/>
      <w:bookmarkStart w:id="9" w:name="_Toc89791596"/>
      <w:bookmarkStart w:id="10" w:name="_Toc144818372"/>
      <w:bookmarkStart w:id="11" w:name="_Toc116869901"/>
      <w:bookmarkStart w:id="12" w:name="_Toc152583389"/>
      <w:bookmarkStart w:id="13" w:name="_Toc141847066"/>
      <w:bookmarkStart w:id="14" w:name="_Toc89791698"/>
      <w:bookmarkStart w:id="15" w:name="_Toc146679241"/>
      <w:bookmarkStart w:id="16" w:name="_Toc148496351"/>
      <w:bookmarkStart w:id="17" w:name="_Toc168037533"/>
      <w:bookmarkStart w:id="18" w:name="_Toc150852805"/>
      <w:bookmarkStart w:id="19" w:name="_Toc483588242"/>
      <w:bookmarkStart w:id="20" w:name="_Toc148496402"/>
      <w:bookmarkStart w:id="21" w:name="_Toc116895408"/>
      <w:bookmarkStart w:id="22" w:name="_Toc14191"/>
      <w:bookmarkStart w:id="23" w:name="_Toc150163485"/>
      <w:bookmarkStart w:id="24" w:name="_Toc37236847"/>
      <w:bookmarkStart w:id="25" w:name="_Toc36885854"/>
      <w:bookmarkStart w:id="26" w:name="_Toc36867048"/>
      <w:bookmarkStart w:id="27" w:name="_Toc36974051"/>
      <w:bookmarkStart w:id="28" w:name="_Toc36974340"/>
      <w:bookmarkStart w:id="29" w:name="_Toc36974289"/>
      <w:bookmarkStart w:id="30" w:name="_Toc36974207"/>
      <w:bookmarkStart w:id="31" w:name="_Toc36973985"/>
      <w:bookmarkStart w:id="32" w:name="_Toc34471344"/>
      <w:bookmarkStart w:id="33" w:name="_Toc36973198"/>
      <w:bookmarkStart w:id="34" w:name="_Toc32815547"/>
      <w:r>
        <w:rPr>
          <w:rFonts w:hint="eastAsia" w:asciiTheme="minorEastAsia" w:hAnsiTheme="minorEastAsia" w:eastAsiaTheme="minorEastAsia"/>
          <w:b/>
          <w:bCs/>
          <w:sz w:val="30"/>
          <w:szCs w:val="30"/>
        </w:rPr>
        <w:t>四、报价要求</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FB19333">
      <w:pPr>
        <w:tabs>
          <w:tab w:val="left" w:pos="5130"/>
        </w:tabs>
        <w:spacing w:line="360" w:lineRule="auto"/>
        <w:ind w:left="69"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1、本次招标不涉及报价，供应商按照采购要求对服务收费标准进行承诺。</w:t>
      </w:r>
    </w:p>
    <w:bookmarkEnd w:id="24"/>
    <w:bookmarkEnd w:id="25"/>
    <w:bookmarkEnd w:id="26"/>
    <w:bookmarkEnd w:id="27"/>
    <w:bookmarkEnd w:id="28"/>
    <w:bookmarkEnd w:id="29"/>
    <w:bookmarkEnd w:id="30"/>
    <w:bookmarkEnd w:id="31"/>
    <w:bookmarkEnd w:id="32"/>
    <w:bookmarkEnd w:id="33"/>
    <w:bookmarkEnd w:id="34"/>
    <w:p w14:paraId="03808060">
      <w:pPr>
        <w:spacing w:after="156" w:afterLines="50" w:line="468" w:lineRule="exact"/>
        <w:rPr>
          <w:rFonts w:hint="eastAsia" w:asciiTheme="minorEastAsia" w:hAnsiTheme="minorEastAsia" w:eastAsiaTheme="minorEastAsia"/>
          <w:b/>
          <w:bCs/>
          <w:sz w:val="30"/>
          <w:szCs w:val="30"/>
        </w:rPr>
      </w:pPr>
      <w:bookmarkStart w:id="35" w:name="_Toc521311776"/>
      <w:r>
        <w:rPr>
          <w:rFonts w:hint="eastAsia" w:asciiTheme="minorEastAsia" w:hAnsiTheme="minorEastAsia" w:eastAsiaTheme="minorEastAsia"/>
          <w:b/>
          <w:bCs/>
          <w:sz w:val="30"/>
          <w:szCs w:val="30"/>
        </w:rPr>
        <w:t>五、追责条款</w:t>
      </w:r>
    </w:p>
    <w:p w14:paraId="73C99B8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护理员陪护期间如果有偷窃及猥亵病人等违法行为，一律报警追究法律责任；与客户发生纠纷或自身工作失误给客户造成损失如造成病人摔伤、烫伤、坠床、走失等意外伤害或其他医疗纠纷时，均由中标人与客户自行处理，中标人应承担一切赔偿责任及其产生的法律后果，采购人不承担纠纷处理义务和任何法律责任。中标供应商人员无论是在工作当中或者是上下班途中的人身安全均由中标人自行负责，如果发生意外与采购人无关。</w:t>
      </w:r>
    </w:p>
    <w:p w14:paraId="186023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 中标供应商人员在采购人指导下做好疫情防控工作，中标供应商人员违反规定造成疫情扩散，中标供应商承担一切后果。</w:t>
      </w:r>
    </w:p>
    <w:p w14:paraId="3B3C961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如果中标供应商达不到采购人提出的服务要求，采购人有权要求中标供应商在一个月内完成整改，中标供应商整改无成效的，采购人有权单方面解除合同，造成采购人经济损失的，中标供应商应负责赔偿采购人。</w:t>
      </w:r>
    </w:p>
    <w:p w14:paraId="1E55F93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为了保障护理员工作质量，中标人应向采购人提供不少于5万元的履约保证金，如果中标人在合同期内考核合格，合同期满退回本金，如果中标方人员出现违法违规行为，院方有权按照一次500-2000元范围内扣罚保证金，保证金扣完时采购人有权解除合同。</w:t>
      </w:r>
    </w:p>
    <w:p w14:paraId="6346BA86">
      <w:pPr>
        <w:pStyle w:val="5"/>
        <w:tabs>
          <w:tab w:val="left" w:pos="308"/>
        </w:tabs>
        <w:spacing w:before="0" w:after="0" w:line="360" w:lineRule="auto"/>
        <w:rPr>
          <w:rFonts w:hint="eastAsia" w:cs="宋体" w:asciiTheme="minorEastAsia" w:hAnsiTheme="minorEastAsia" w:eastAsiaTheme="minorEastAsia"/>
          <w:color w:val="auto"/>
          <w:szCs w:val="28"/>
        </w:rPr>
      </w:pPr>
      <w:r>
        <w:rPr>
          <w:rFonts w:hint="eastAsia" w:cs="宋体" w:asciiTheme="minorEastAsia" w:hAnsiTheme="minorEastAsia" w:eastAsiaTheme="minorEastAsia"/>
          <w:color w:val="auto"/>
          <w:szCs w:val="28"/>
        </w:rPr>
        <w:t>六、验收条件及标准</w:t>
      </w:r>
    </w:p>
    <w:p w14:paraId="2B6E9713">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1、验收方式：中标供应商</w:t>
      </w:r>
      <w:r>
        <w:rPr>
          <w:rFonts w:hint="eastAsia" w:asciiTheme="minorEastAsia" w:hAnsiTheme="minorEastAsia" w:eastAsiaTheme="minorEastAsia"/>
          <w:bCs/>
          <w:sz w:val="24"/>
        </w:rPr>
        <w:t>工作人员考核应严格按照采购人的要求，采购人根据工作人员具体从事的事务工作质量、效率进行评议，不定期出具考核意见，如被评为不合格，成交供应商应按采购人要求在5日内更换人员，所产生的费用由成交供应商自行承担。</w:t>
      </w:r>
    </w:p>
    <w:p w14:paraId="4CA67910">
      <w:pPr>
        <w:spacing w:line="360" w:lineRule="auto"/>
        <w:ind w:left="69" w:firstLine="480" w:firstLineChars="200"/>
        <w:rPr>
          <w:rFonts w:hint="eastAsia" w:cs="宋体" w:asciiTheme="minorEastAsia" w:hAnsiTheme="minorEastAsia" w:eastAsiaTheme="minorEastAsia"/>
          <w:sz w:val="24"/>
        </w:rPr>
      </w:pPr>
      <w:r>
        <w:rPr>
          <w:rFonts w:hint="eastAsia" w:cs="Arial" w:asciiTheme="minorEastAsia" w:hAnsiTheme="minorEastAsia" w:eastAsiaTheme="minorEastAsia"/>
          <w:sz w:val="24"/>
        </w:rPr>
        <w:t>2、验收依据：</w:t>
      </w:r>
      <w:r>
        <w:rPr>
          <w:rFonts w:hint="eastAsia" w:cs="宋体" w:asciiTheme="minorEastAsia" w:hAnsiTheme="minorEastAsia" w:eastAsiaTheme="minorEastAsia"/>
          <w:sz w:val="24"/>
        </w:rPr>
        <w:t>招标文件、投标文件、技术标准说明及国家有关的质量标准规定，均为验收依据。</w:t>
      </w:r>
    </w:p>
    <w:p w14:paraId="297F2764">
      <w:pPr>
        <w:spacing w:line="360" w:lineRule="auto"/>
        <w:ind w:left="69"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3、验收时投标人必须派代表参加。</w:t>
      </w:r>
    </w:p>
    <w:p w14:paraId="0E16F33C">
      <w:pPr>
        <w:spacing w:line="360" w:lineRule="auto"/>
        <w:ind w:left="69"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4、验收过程所发生的一切费用由中标供应商承担。</w:t>
      </w:r>
    </w:p>
    <w:bookmarkEnd w:id="35"/>
    <w:p w14:paraId="262AEEF7">
      <w:pPr>
        <w:pStyle w:val="45"/>
        <w:rPr>
          <w:rFonts w:cs="宋体" w:asciiTheme="minorEastAsia" w:hAnsiTheme="minorEastAsia" w:eastAsiaTheme="minorEastAsia"/>
          <w:b/>
          <w:sz w:val="36"/>
          <w:szCs w:val="36"/>
        </w:rPr>
      </w:pPr>
      <w:r>
        <w:rPr>
          <w:rFonts w:cs="宋体" w:asciiTheme="minorEastAsia" w:hAnsiTheme="minorEastAsia" w:eastAsiaTheme="minorEastAsia"/>
          <w:b/>
          <w:sz w:val="36"/>
          <w:szCs w:val="36"/>
        </w:rPr>
        <w:t>二、评分办法</w:t>
      </w:r>
    </w:p>
    <w:tbl>
      <w:tblPr>
        <w:tblStyle w:val="20"/>
        <w:tblpPr w:leftFromText="180" w:rightFromText="180" w:vertAnchor="text" w:horzAnchor="page" w:tblpXSpec="center" w:tblpY="6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6"/>
        <w:gridCol w:w="526"/>
      </w:tblGrid>
      <w:tr w14:paraId="6435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tcBorders>
              <w:top w:val="single" w:color="auto" w:sz="4" w:space="0"/>
              <w:left w:val="single" w:color="auto" w:sz="4" w:space="0"/>
              <w:bottom w:val="single" w:color="auto" w:sz="4" w:space="0"/>
              <w:right w:val="single" w:color="auto" w:sz="4" w:space="0"/>
            </w:tcBorders>
            <w:vAlign w:val="center"/>
          </w:tcPr>
          <w:p w14:paraId="66875241">
            <w:pPr>
              <w:pStyle w:val="45"/>
              <w:jc w:val="both"/>
              <w:rPr>
                <w:rFonts w:asciiTheme="minorEastAsia" w:hAnsiTheme="minorEastAsia" w:eastAsiaTheme="minorEastAsia"/>
                <w:b/>
                <w:bCs/>
                <w:sz w:val="26"/>
                <w:szCs w:val="26"/>
              </w:rPr>
            </w:pPr>
            <w:r>
              <w:rPr>
                <w:rFonts w:asciiTheme="minorEastAsia" w:hAnsiTheme="minorEastAsia" w:eastAsiaTheme="minorEastAsia"/>
                <w:b/>
                <w:bCs/>
                <w:sz w:val="26"/>
                <w:szCs w:val="26"/>
              </w:rPr>
              <w:t>评分因素及细则</w:t>
            </w:r>
          </w:p>
        </w:tc>
        <w:tc>
          <w:tcPr>
            <w:tcW w:w="0" w:type="auto"/>
            <w:tcBorders>
              <w:top w:val="single" w:color="auto" w:sz="4" w:space="0"/>
              <w:left w:val="single" w:color="auto" w:sz="4" w:space="0"/>
              <w:bottom w:val="single" w:color="auto" w:sz="4" w:space="0"/>
              <w:right w:val="single" w:color="auto" w:sz="4" w:space="0"/>
            </w:tcBorders>
            <w:vAlign w:val="center"/>
          </w:tcPr>
          <w:p w14:paraId="706B6CB0">
            <w:pPr>
              <w:pStyle w:val="45"/>
              <w:rPr>
                <w:rFonts w:asciiTheme="minorEastAsia" w:hAnsiTheme="minorEastAsia" w:eastAsiaTheme="minorEastAsia"/>
                <w:b/>
                <w:bCs/>
                <w:sz w:val="26"/>
                <w:szCs w:val="26"/>
              </w:rPr>
            </w:pPr>
            <w:r>
              <w:rPr>
                <w:rFonts w:asciiTheme="minorEastAsia" w:hAnsiTheme="minorEastAsia" w:eastAsiaTheme="minorEastAsia"/>
                <w:b/>
                <w:bCs/>
                <w:sz w:val="26"/>
                <w:szCs w:val="26"/>
              </w:rPr>
              <w:t>满分</w:t>
            </w:r>
          </w:p>
        </w:tc>
      </w:tr>
      <w:tr w14:paraId="07D1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0" w:type="auto"/>
            <w:tcBorders>
              <w:top w:val="single" w:color="auto" w:sz="4" w:space="0"/>
              <w:left w:val="single" w:color="auto" w:sz="4" w:space="0"/>
              <w:bottom w:val="single" w:color="auto" w:sz="4" w:space="0"/>
              <w:right w:val="single" w:color="auto" w:sz="4" w:space="0"/>
            </w:tcBorders>
            <w:vAlign w:val="center"/>
          </w:tcPr>
          <w:p w14:paraId="7548F4FD">
            <w:pPr>
              <w:pStyle w:val="45"/>
              <w:jc w:val="both"/>
              <w:rPr>
                <w:rFonts w:asciiTheme="minorEastAsia" w:hAnsiTheme="minorEastAsia" w:eastAsiaTheme="minorEastAsia"/>
                <w:b/>
                <w:bCs/>
                <w:sz w:val="26"/>
                <w:szCs w:val="26"/>
              </w:rPr>
            </w:pPr>
            <w:r>
              <w:rPr>
                <w:rFonts w:asciiTheme="minorEastAsia" w:hAnsiTheme="minorEastAsia" w:eastAsiaTheme="minorEastAsia"/>
                <w:bCs/>
                <w:sz w:val="26"/>
                <w:szCs w:val="26"/>
              </w:rPr>
              <w:t>技术项（F2×A2）满分为70.00分</w:t>
            </w:r>
          </w:p>
        </w:tc>
        <w:tc>
          <w:tcPr>
            <w:tcW w:w="0" w:type="auto"/>
            <w:tcBorders>
              <w:top w:val="single" w:color="auto" w:sz="4" w:space="0"/>
              <w:left w:val="single" w:color="auto" w:sz="4" w:space="0"/>
              <w:bottom w:val="single" w:color="auto" w:sz="4" w:space="0"/>
              <w:right w:val="single" w:color="auto" w:sz="4" w:space="0"/>
            </w:tcBorders>
            <w:vAlign w:val="center"/>
          </w:tcPr>
          <w:p w14:paraId="0AEB8174">
            <w:pPr>
              <w:pStyle w:val="45"/>
              <w:rPr>
                <w:rFonts w:asciiTheme="minorEastAsia" w:hAnsiTheme="minorEastAsia" w:eastAsiaTheme="minorEastAsia"/>
                <w:b/>
                <w:bCs/>
                <w:sz w:val="26"/>
                <w:szCs w:val="26"/>
              </w:rPr>
            </w:pPr>
          </w:p>
        </w:tc>
      </w:tr>
      <w:tr w14:paraId="0599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tcBorders>
              <w:top w:val="single" w:color="auto" w:sz="4" w:space="0"/>
              <w:left w:val="single" w:color="auto" w:sz="4" w:space="0"/>
              <w:bottom w:val="single" w:color="auto" w:sz="4" w:space="0"/>
              <w:right w:val="single" w:color="auto" w:sz="4" w:space="0"/>
            </w:tcBorders>
            <w:vAlign w:val="center"/>
          </w:tcPr>
          <w:p w14:paraId="77E4C08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T1、根据投标人制定的项目整体服务方案进行评价：</w:t>
            </w:r>
          </w:p>
          <w:p w14:paraId="46F2BBE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服务方案至少包含服务思路、服务定位、各项管理内容，方案能够满足本项目需求的得1.8分；提出有针对性的管理设想，分析项目重点难点，并提出应对管理措施，包括防止院内交叉感染措施、质量控制措施等，有助于提升本项目服务的得2分；</w:t>
            </w:r>
          </w:p>
          <w:p w14:paraId="691F511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7177378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4A1B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tcBorders>
              <w:top w:val="single" w:color="auto" w:sz="4" w:space="0"/>
              <w:left w:val="single" w:color="auto" w:sz="4" w:space="0"/>
              <w:bottom w:val="single" w:color="auto" w:sz="4" w:space="0"/>
              <w:right w:val="single" w:color="auto" w:sz="4" w:space="0"/>
            </w:tcBorders>
            <w:vAlign w:val="center"/>
          </w:tcPr>
          <w:p w14:paraId="7CD142C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T2、根据投标人的管理机构及管理制度进行评价：</w:t>
            </w:r>
          </w:p>
          <w:p w14:paraId="1D4F06C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管理方案至少包含管理机构设置、各部门职责、各类规章制度、保密规定，方案能够满足本项目需求的得1.8分；针对医院情况提出有针对性的管理制度，公司内部成立单独领导小组，并明确相应职责，有助于提升本项目服务的得2分；</w:t>
            </w:r>
          </w:p>
          <w:p w14:paraId="7BC4844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3D142D5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1BF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0" w:type="auto"/>
            <w:tcBorders>
              <w:top w:val="single" w:color="auto" w:sz="4" w:space="0"/>
              <w:left w:val="single" w:color="auto" w:sz="4" w:space="0"/>
              <w:bottom w:val="single" w:color="auto" w:sz="4" w:space="0"/>
              <w:right w:val="single" w:color="auto" w:sz="4" w:space="0"/>
            </w:tcBorders>
            <w:vAlign w:val="center"/>
          </w:tcPr>
          <w:p w14:paraId="25DD872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T3、根据投标人的人员培训方案进行评价：</w:t>
            </w:r>
          </w:p>
          <w:p w14:paraId="6107AD4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培训方案至少包含培训计划、培训内容、培训讲师、培训课时安排，方案能够满足本项目需求的得1.8分；培训方案突出培训重难点、并有相应措施，人员安排、课时安排合理有序，有达到预期目标的考核机制，确保培训内容符合项目需求的得2分；</w:t>
            </w:r>
          </w:p>
          <w:p w14:paraId="7E8FD09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6E4303F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4F36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38246A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T4、根据投标人的人员配备方案进行评价：</w:t>
            </w:r>
          </w:p>
          <w:p w14:paraId="2EFAA6F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配备方案至少包含人员招聘、人员岗位职责、人员能力要求、人员考核，方案能够满足本项目需求的得1.8分；人员配备方案能确保各类人员配置齐全、科学，人员持有专业上岗证（如健康合格证、上岗/护工合格证/健康照护证等；人员考核有奖罚淘汰制度，有助于提升本项目服务的得2分；</w:t>
            </w:r>
          </w:p>
          <w:p w14:paraId="60E4188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298E329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90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A666E2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T5、根据投标人的应急突发事件处理预案进行评价：</w:t>
            </w:r>
          </w:p>
          <w:p w14:paraId="5F5AEF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应急预案至少包含日常服务保障措施、各类突发事件的保障措施，方案能够满足本项目需求的得1.8分；制定的方案有结合医院的实际情况，具有针对性，制定有疫情期间服务方案，能有效处理各种突发情况，提升本项目服务的得2分；</w:t>
            </w:r>
          </w:p>
          <w:p w14:paraId="3F3B22A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5AADCFC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7CB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6A1811D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6、投标人自行选择一种情况制定一天的陪护方案，根据制定的患者服务计划进行评价：服务计划按时间顺序安排患者全天应做事项，对护理员应完成事项内容、标准、质量有明确要求，基本满足医疗护理需求的得1.8分；有制定患者突发情况处理方案，有提出更高的服务质量标准，列明护理需投入的工具设备的得2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870BB3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408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0" w:type="auto"/>
            <w:tcBorders>
              <w:top w:val="single" w:color="auto" w:sz="4" w:space="0"/>
              <w:left w:val="single" w:color="auto" w:sz="4" w:space="0"/>
              <w:bottom w:val="single" w:color="auto" w:sz="4" w:space="0"/>
              <w:right w:val="single" w:color="auto" w:sz="4" w:space="0"/>
            </w:tcBorders>
            <w:vAlign w:val="center"/>
          </w:tcPr>
          <w:p w14:paraId="4712AE0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T7、投标人对不同级别护理要求有明确的服务标准和内容，内容清晰、科学合理，符合相关标准规范的得2分，否则不得分。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2AA8DA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2EE2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0" w:type="auto"/>
            <w:tcBorders>
              <w:top w:val="single" w:color="auto" w:sz="4" w:space="0"/>
              <w:left w:val="single" w:color="auto" w:sz="4" w:space="0"/>
              <w:bottom w:val="single" w:color="auto" w:sz="4" w:space="0"/>
              <w:right w:val="single" w:color="auto" w:sz="4" w:space="0"/>
            </w:tcBorders>
            <w:vAlign w:val="center"/>
          </w:tcPr>
          <w:p w14:paraId="402C13E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T8、服务响应能力：有服务需求时响应时间≤2小时的得1分，≤1小时的得2分。需提供承诺函，否则不得分。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604BD6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AEF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tcBorders>
              <w:top w:val="single" w:color="auto" w:sz="4" w:space="0"/>
              <w:left w:val="single" w:color="auto" w:sz="4" w:space="0"/>
              <w:bottom w:val="single" w:color="auto" w:sz="4" w:space="0"/>
              <w:right w:val="single" w:color="auto" w:sz="4" w:space="0"/>
            </w:tcBorders>
            <w:vAlign w:val="center"/>
          </w:tcPr>
          <w:p w14:paraId="01929F2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T9、投标人承诺：如中标，将需严格按照《陪护人员缺陷管理制度》、《治安及消防安全要求细则》执行。提供承诺的得2分，否则不得分。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0F0A4C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279D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14:paraId="32879E5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T10、根据投标人拟投入本项目的项目经理（项目负责人）情况进行评价：</w:t>
            </w:r>
          </w:p>
          <w:p w14:paraId="17D19D9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（1）具有全日制大学本科（护理学专业）或以上学历的得1分，否则不得分。</w:t>
            </w:r>
          </w:p>
          <w:p w14:paraId="253E803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（2）持有《护士执业证书》得1分，否则不得分。</w:t>
            </w:r>
          </w:p>
          <w:p w14:paraId="69C909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（3）持有中级或以上护理相关证书的得2分，否则不得分。</w:t>
            </w:r>
          </w:p>
          <w:p w14:paraId="60853A4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（4）具有从事三级甲等医院管理工作经验四年及以上的得2分，需提供医院出具的证明，否则不得分。</w:t>
            </w:r>
          </w:p>
          <w:p w14:paraId="721A202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(5)具备国家级护理员/护工培训师资证书得2分，否则不得分。</w:t>
            </w:r>
          </w:p>
          <w:p w14:paraId="5030CCF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注：需提供项目经理身份证复印件、劳动合同、投标人为其缴纳社保的证明（近六个月任一个月，不含开标当月），以及评分对应的证书、证明，否则不得分。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B347C9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8</w:t>
            </w:r>
          </w:p>
        </w:tc>
      </w:tr>
      <w:tr w14:paraId="1B8A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36E28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T11、根据投标人拟投入本项目的其他人员情况进行评价：</w:t>
            </w:r>
          </w:p>
          <w:p w14:paraId="741B6DE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（1）投标人承诺为本项目配置的现场管理人员2人（含）以上（除项目经理外）的得1分，需提供承诺函，否则不得分。</w:t>
            </w:r>
          </w:p>
          <w:p w14:paraId="5B5531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（2）现场管理人员（2人含以上）均为大专（护理学专业）或以上毕业的得2分，未提供不得分。</w:t>
            </w:r>
          </w:p>
          <w:p w14:paraId="6E5FC18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（3）现场管理人员（2人含以上）均持有卫生专业技术资格中级护理学证书的得2分，未提供不得分。</w:t>
            </w:r>
          </w:p>
          <w:p w14:paraId="4A4BF37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注：需提供人员身份证复印件、劳动合同、投标人为其缴纳社保的证明（近六个月任一个月，不含开标当月），以及评分对应的证书、证明，否则不得分。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5EC736B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w:t>
            </w:r>
          </w:p>
        </w:tc>
      </w:tr>
      <w:tr w14:paraId="3DA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0" w:type="auto"/>
            <w:tcBorders>
              <w:top w:val="single" w:color="auto" w:sz="4" w:space="0"/>
              <w:left w:val="single" w:color="auto" w:sz="4" w:space="0"/>
              <w:bottom w:val="single" w:color="auto" w:sz="4" w:space="0"/>
              <w:right w:val="single" w:color="auto" w:sz="4" w:space="0"/>
            </w:tcBorders>
            <w:vAlign w:val="center"/>
          </w:tcPr>
          <w:p w14:paraId="52B4FEE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T12、投标人完全满足招标文件 “技术和服务要求”的得29分，每有1项不满足扣2分，扣完为止投标人需作出明确的响应承诺，否则不得分。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04A4B45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29</w:t>
            </w:r>
          </w:p>
        </w:tc>
      </w:tr>
      <w:tr w14:paraId="1B25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0" w:type="auto"/>
            <w:tcBorders>
              <w:top w:val="single" w:color="auto" w:sz="4" w:space="0"/>
              <w:left w:val="single" w:color="auto" w:sz="4" w:space="0"/>
              <w:bottom w:val="single" w:color="auto" w:sz="4" w:space="0"/>
              <w:right w:val="single" w:color="auto" w:sz="4" w:space="0"/>
            </w:tcBorders>
            <w:vAlign w:val="center"/>
          </w:tcPr>
          <w:p w14:paraId="25B0829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商务项（F3×A3）满分为30.00分</w:t>
            </w:r>
          </w:p>
        </w:tc>
        <w:tc>
          <w:tcPr>
            <w:tcW w:w="0" w:type="auto"/>
            <w:tcBorders>
              <w:top w:val="single" w:color="auto" w:sz="4" w:space="0"/>
              <w:left w:val="single" w:color="auto" w:sz="4" w:space="0"/>
              <w:bottom w:val="single" w:color="auto" w:sz="4" w:space="0"/>
              <w:right w:val="single" w:color="auto" w:sz="4" w:space="0"/>
            </w:tcBorders>
            <w:vAlign w:val="center"/>
          </w:tcPr>
          <w:p w14:paraId="7F8E8F87">
            <w:pPr>
              <w:pStyle w:val="45"/>
              <w:jc w:val="both"/>
              <w:rPr>
                <w:rFonts w:cs="宋体" w:asciiTheme="minorEastAsia" w:hAnsiTheme="minorEastAsia" w:eastAsiaTheme="minorEastAsia"/>
                <w:sz w:val="24"/>
                <w:lang w:bidi="ar"/>
              </w:rPr>
            </w:pPr>
          </w:p>
        </w:tc>
      </w:tr>
      <w:tr w14:paraId="1E3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C6DBA0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B1、根据投标人的体系认证情况进行评价：</w:t>
            </w:r>
          </w:p>
          <w:p w14:paraId="2887592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（1）投标人通过质量管理体系认证的得1分，否则不得分。</w:t>
            </w:r>
          </w:p>
          <w:p w14:paraId="6B74954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（2）投标人通过环境管理体系认证的得1分，否则不得分。</w:t>
            </w:r>
          </w:p>
          <w:p w14:paraId="729053C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（3）投标人通过职业健康安全管理体系认证的得1分，否则不得分。</w:t>
            </w:r>
          </w:p>
          <w:p w14:paraId="25EC05E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（4）投标人通过企业诚信管理体系认证的得1分，否则不得分。</w:t>
            </w:r>
          </w:p>
          <w:p w14:paraId="6AAABFA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（5）投标人通过信息安全管理体系认证的得1分，否则不得分。</w:t>
            </w:r>
          </w:p>
          <w:p w14:paraId="3386B8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（6）投标人通过社会责任管理体系认证的得1分，否则不得分。</w:t>
            </w:r>
          </w:p>
          <w:p w14:paraId="6002B32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以上需同时提供认证证书扫描件和全国认证认可信息公共服务平台（网址：http://cx.cnca.cn）的网页查询截图（截图内容至少包含但不限于证书编号、证书状态、证书到期日期、组织名称、发证机构名称）并体现网址，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629F8ED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w:t>
            </w:r>
          </w:p>
        </w:tc>
      </w:tr>
      <w:tr w14:paraId="460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67ED35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B2、投标人为本项目投入护理或护工管理系统的得3分，需提供系统的软件著作权登记证书，未提供不得分。</w:t>
            </w:r>
          </w:p>
          <w:p w14:paraId="6F8491C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为保障信息安全，投标人通过三级信息系统安全等级保护备案的得3分，提供相关证明材料，未提供不得分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4BD85A6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w:t>
            </w:r>
          </w:p>
        </w:tc>
      </w:tr>
      <w:tr w14:paraId="30A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3DC7FD8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B3、投标人承诺在本项目使用管理系统软件并提供相关技术与医院对接得2分，需提供承诺函，否则不得分。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C5554D8">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4EF7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B918A9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B4、投标人为护理人员购买团体意外险的得2分，需提供保单复印件及加盖公章，否则不得分。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197F980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014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700FFA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B5、投标人购买第三者责任保险（每次事故赔偿不低于500万元）的得2分，需提供保单复印件及加盖公章，否则不得分。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C5C701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98C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5BB72F7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6、服务质量：根据投标人提供2021年1月1日起至投标截至时间止，所在服务的三甲医院获得的服务满意证明材料进行评价：具有6个（含）以上医院出具的服务满意证明材料，每提供一个得0.5分，满分3分，否则不得分。</w:t>
            </w:r>
          </w:p>
          <w:p w14:paraId="2EBB69B8">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注：服务满意证明材料包括：出具业主单位（或主管部门）盖章的服务满意证明文件（满意度在90分（含）以上）及双方签订的合同复印件。</w:t>
            </w:r>
          </w:p>
        </w:tc>
        <w:tc>
          <w:tcPr>
            <w:tcW w:w="0" w:type="auto"/>
            <w:tcBorders>
              <w:top w:val="single" w:color="auto" w:sz="4" w:space="0"/>
              <w:left w:val="single" w:color="auto" w:sz="4" w:space="0"/>
              <w:bottom w:val="single" w:color="auto" w:sz="4" w:space="0"/>
              <w:right w:val="single" w:color="auto" w:sz="4" w:space="0"/>
            </w:tcBorders>
            <w:vAlign w:val="center"/>
          </w:tcPr>
          <w:p w14:paraId="66D3771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4DD5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0" w:type="auto"/>
            <w:tcBorders>
              <w:top w:val="single" w:color="auto" w:sz="4" w:space="0"/>
              <w:left w:val="single" w:color="auto" w:sz="4" w:space="0"/>
              <w:bottom w:val="single" w:color="auto" w:sz="4" w:space="0"/>
              <w:right w:val="single" w:color="auto" w:sz="4" w:space="0"/>
            </w:tcBorders>
            <w:vAlign w:val="center"/>
          </w:tcPr>
          <w:p w14:paraId="12691A2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B7、根据投标人2021年1月1日至今（以合同签订时间为准）类似医疗机构病患陪护服务的经营业绩的有效证明文件进行评价，有效证明文件包括该业绩的：</w:t>
            </w:r>
          </w:p>
          <w:p w14:paraId="651DBB9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①中标（成交）公告（提供相关网站中标（成交）公告的下载网页及其网址）；</w:t>
            </w:r>
          </w:p>
          <w:p w14:paraId="40B24CC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②中标（成交）通知书复印件；</w:t>
            </w:r>
          </w:p>
          <w:p w14:paraId="1338154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③采购合同文本复印件（必须体现有护理、护工、陪护、生活照料、医疗生活护理等关键字之一）；</w:t>
            </w:r>
          </w:p>
          <w:p w14:paraId="3B7B585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上述证明三项齐全。每个有效业绩得1分，满分3分。未按要求提供完整证明资料的业绩将不予计分。</w:t>
            </w:r>
          </w:p>
        </w:tc>
        <w:tc>
          <w:tcPr>
            <w:tcW w:w="0" w:type="auto"/>
            <w:tcBorders>
              <w:top w:val="single" w:color="auto" w:sz="4" w:space="0"/>
              <w:left w:val="single" w:color="auto" w:sz="4" w:space="0"/>
              <w:bottom w:val="single" w:color="auto" w:sz="4" w:space="0"/>
              <w:right w:val="single" w:color="auto" w:sz="4" w:space="0"/>
            </w:tcBorders>
            <w:vAlign w:val="center"/>
          </w:tcPr>
          <w:p w14:paraId="05F973A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03DA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0" w:type="auto"/>
            <w:tcBorders>
              <w:top w:val="single" w:color="auto" w:sz="4" w:space="0"/>
              <w:left w:val="single" w:color="auto" w:sz="4" w:space="0"/>
              <w:bottom w:val="single" w:color="auto" w:sz="4" w:space="0"/>
              <w:right w:val="single" w:color="auto" w:sz="4" w:space="0"/>
            </w:tcBorders>
            <w:vAlign w:val="center"/>
          </w:tcPr>
          <w:p w14:paraId="3A0C6E7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B8、投标人近两年参加国家级医疗护理员大赛并取得荣誉的得3分，需提供荣誉证书，未提供不得分。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09F7D608">
            <w:pPr>
              <w:pStyle w:val="45"/>
              <w:jc w:val="both"/>
              <w:rPr>
                <w:rFonts w:asciiTheme="minorEastAsia" w:hAnsiTheme="minorEastAsia" w:eastAsiaTheme="minorEastAsia"/>
                <w:sz w:val="24"/>
              </w:rPr>
            </w:pPr>
            <w:r>
              <w:rPr>
                <w:rFonts w:asciiTheme="minorEastAsia" w:hAnsiTheme="minorEastAsia" w:eastAsiaTheme="minorEastAsia"/>
                <w:spacing w:val="-12"/>
                <w:sz w:val="24"/>
              </w:rPr>
              <w:t>3</w:t>
            </w:r>
          </w:p>
        </w:tc>
      </w:tr>
      <w:tr w14:paraId="7F3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0" w:type="auto"/>
            <w:tcBorders>
              <w:top w:val="single" w:color="auto" w:sz="4" w:space="0"/>
              <w:left w:val="single" w:color="auto" w:sz="4" w:space="0"/>
              <w:bottom w:val="single" w:color="auto" w:sz="4" w:space="0"/>
              <w:right w:val="single" w:color="auto" w:sz="4" w:space="0"/>
            </w:tcBorders>
            <w:vAlign w:val="center"/>
          </w:tcPr>
          <w:p w14:paraId="78E88EC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B9、投标人参与护理员基本知识与技能相关丛书编制得3分，丛书为发行类刊物，有期刊书号。须提供相关证明材料并加盖公章，不提供或不符合要求不得分。</w:t>
            </w:r>
          </w:p>
        </w:tc>
        <w:tc>
          <w:tcPr>
            <w:tcW w:w="0" w:type="auto"/>
            <w:tcBorders>
              <w:top w:val="single" w:color="auto" w:sz="4" w:space="0"/>
              <w:left w:val="single" w:color="auto" w:sz="4" w:space="0"/>
              <w:bottom w:val="single" w:color="auto" w:sz="4" w:space="0"/>
              <w:right w:val="single" w:color="auto" w:sz="4" w:space="0"/>
            </w:tcBorders>
            <w:vAlign w:val="center"/>
          </w:tcPr>
          <w:p w14:paraId="0CBB0ED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bl>
    <w:p w14:paraId="2CD1E2D3">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14CC01E8">
      <w:pPr>
        <w:pStyle w:val="12"/>
        <w:ind w:firstLine="0"/>
        <w:jc w:val="center"/>
        <w:rPr>
          <w:rFonts w:hint="eastAsia" w:asciiTheme="minorEastAsia" w:hAnsiTheme="minorEastAsia" w:eastAsiaTheme="minorEastAsia"/>
        </w:rPr>
      </w:pPr>
      <w:r>
        <w:rPr>
          <w:rFonts w:hint="eastAsia" w:asciiTheme="minorEastAsia" w:hAnsiTheme="minorEastAsia" w:eastAsiaTheme="minorEastAsia"/>
          <w:b/>
          <w:sz w:val="28"/>
          <w:szCs w:val="28"/>
        </w:rPr>
        <w:t>一、投标书</w:t>
      </w:r>
    </w:p>
    <w:p w14:paraId="7171E37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致：福建省肿瘤医院</w:t>
      </w:r>
    </w:p>
    <w:p w14:paraId="392F4EC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sz w:val="28"/>
          <w:szCs w:val="28"/>
          <w:u w:val="single"/>
        </w:rPr>
        <w:t xml:space="preserve">  （小写：           ）</w:t>
      </w:r>
      <w:r>
        <w:rPr>
          <w:rFonts w:hint="eastAsia" w:asciiTheme="minorEastAsia" w:hAnsiTheme="minorEastAsia" w:eastAsiaTheme="minorEastAsia"/>
          <w:sz w:val="28"/>
          <w:szCs w:val="28"/>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2、我方已详细审核全部招标文件及有关附件。</w:t>
      </w:r>
    </w:p>
    <w:p w14:paraId="75F71ADF">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3、一旦我方中标，我方保证质量达到</w:t>
      </w:r>
      <w:r>
        <w:rPr>
          <w:rFonts w:hint="eastAsia" w:asciiTheme="minorEastAsia" w:hAnsiTheme="minorEastAsia" w:eastAsiaTheme="minorEastAsia"/>
          <w:b/>
          <w:sz w:val="28"/>
          <w:szCs w:val="28"/>
          <w:u w:val="single"/>
        </w:rPr>
        <w:t>投标须知、投标文件等规定</w:t>
      </w:r>
      <w:r>
        <w:rPr>
          <w:rFonts w:hint="eastAsia" w:asciiTheme="minorEastAsia" w:hAnsiTheme="minorEastAsia" w:eastAsiaTheme="minorEastAsia"/>
          <w:sz w:val="28"/>
          <w:szCs w:val="28"/>
        </w:rPr>
        <w:t>标准。</w:t>
      </w:r>
    </w:p>
    <w:p w14:paraId="23CEC730">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附件：报价清单</w:t>
      </w:r>
    </w:p>
    <w:p w14:paraId="3301D3F4">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682D0351">
      <w:pPr>
        <w:spacing w:line="360" w:lineRule="exact"/>
        <w:rPr>
          <w:rFonts w:hint="eastAsia" w:asciiTheme="minorEastAsia" w:hAnsiTheme="minorEastAsia" w:eastAsiaTheme="minorEastAsia"/>
          <w:sz w:val="28"/>
          <w:szCs w:val="28"/>
        </w:rPr>
      </w:pPr>
    </w:p>
    <w:p w14:paraId="21E525CD">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 </w:t>
      </w:r>
    </w:p>
    <w:p w14:paraId="6EE7E81C">
      <w:pPr>
        <w:spacing w:line="360" w:lineRule="exact"/>
        <w:rPr>
          <w:rFonts w:hint="eastAsia" w:asciiTheme="minorEastAsia" w:hAnsiTheme="minorEastAsia" w:eastAsiaTheme="minorEastAsia"/>
          <w:sz w:val="28"/>
          <w:szCs w:val="28"/>
        </w:rPr>
      </w:pPr>
    </w:p>
    <w:p w14:paraId="51C074AE">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w:t>
      </w:r>
    </w:p>
    <w:p w14:paraId="5F491073">
      <w:pPr>
        <w:spacing w:line="360" w:lineRule="exact"/>
        <w:rPr>
          <w:rFonts w:hint="eastAsia" w:asciiTheme="minorEastAsia" w:hAnsiTheme="minorEastAsia" w:eastAsiaTheme="minorEastAsia"/>
          <w:sz w:val="28"/>
          <w:szCs w:val="28"/>
        </w:rPr>
      </w:pPr>
    </w:p>
    <w:p w14:paraId="1108F26F">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邮政编码：         </w:t>
      </w:r>
    </w:p>
    <w:p w14:paraId="1F4939F5">
      <w:pPr>
        <w:spacing w:line="360" w:lineRule="exact"/>
        <w:ind w:firstLine="3220" w:firstLineChars="1150"/>
        <w:rPr>
          <w:rFonts w:hint="eastAsia" w:asciiTheme="minorEastAsia" w:hAnsiTheme="minorEastAsia" w:eastAsiaTheme="minorEastAsia"/>
          <w:sz w:val="28"/>
          <w:szCs w:val="28"/>
        </w:rPr>
      </w:pPr>
    </w:p>
    <w:p w14:paraId="5741373B">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14:paraId="7BF0BA5B">
      <w:pPr>
        <w:spacing w:line="360" w:lineRule="exact"/>
        <w:ind w:firstLine="3220" w:firstLineChars="1150"/>
        <w:rPr>
          <w:rFonts w:hint="eastAsia" w:asciiTheme="minorEastAsia" w:hAnsiTheme="minorEastAsia" w:eastAsiaTheme="minorEastAsia"/>
          <w:sz w:val="28"/>
          <w:szCs w:val="28"/>
        </w:rPr>
      </w:pPr>
    </w:p>
    <w:p w14:paraId="5D2A32C9">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p>
    <w:p w14:paraId="36EB416E">
      <w:pPr>
        <w:spacing w:line="360" w:lineRule="exact"/>
        <w:rPr>
          <w:rFonts w:hint="eastAsia" w:asciiTheme="minorEastAsia" w:hAnsiTheme="minorEastAsia" w:eastAsiaTheme="minorEastAsia"/>
          <w:sz w:val="28"/>
          <w:szCs w:val="28"/>
        </w:rPr>
      </w:pPr>
    </w:p>
    <w:p w14:paraId="7A39EED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开户银行名称： </w:t>
      </w:r>
    </w:p>
    <w:p w14:paraId="1B8C1B00">
      <w:pPr>
        <w:spacing w:line="360" w:lineRule="exact"/>
        <w:rPr>
          <w:rFonts w:hint="eastAsia" w:asciiTheme="minorEastAsia" w:hAnsiTheme="minorEastAsia" w:eastAsiaTheme="minorEastAsia"/>
          <w:sz w:val="28"/>
          <w:szCs w:val="28"/>
        </w:rPr>
      </w:pPr>
    </w:p>
    <w:p w14:paraId="68F49CB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开户银行帐号： </w:t>
      </w:r>
    </w:p>
    <w:p w14:paraId="0B2C66BB">
      <w:pPr>
        <w:spacing w:line="360" w:lineRule="exact"/>
        <w:rPr>
          <w:rFonts w:hint="eastAsia" w:asciiTheme="minorEastAsia" w:hAnsiTheme="minorEastAsia" w:eastAsiaTheme="minorEastAsia"/>
          <w:sz w:val="28"/>
          <w:szCs w:val="28"/>
        </w:rPr>
      </w:pPr>
    </w:p>
    <w:p w14:paraId="416DD665">
      <w:p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开户银行地址：</w:t>
      </w:r>
    </w:p>
    <w:p w14:paraId="2DC6BEF4">
      <w:pPr>
        <w:spacing w:line="360" w:lineRule="exact"/>
        <w:rPr>
          <w:rFonts w:hint="eastAsia" w:asciiTheme="minorEastAsia" w:hAnsiTheme="minorEastAsia" w:eastAsiaTheme="minorEastAsia"/>
          <w:sz w:val="28"/>
          <w:szCs w:val="28"/>
        </w:rPr>
      </w:pPr>
    </w:p>
    <w:p w14:paraId="3C985D7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开户银行电话： </w:t>
      </w:r>
    </w:p>
    <w:p w14:paraId="3C45D134">
      <w:pPr>
        <w:spacing w:line="360" w:lineRule="exact"/>
        <w:ind w:firstLine="600"/>
        <w:rPr>
          <w:rFonts w:hint="eastAsia" w:asciiTheme="minorEastAsia" w:hAnsiTheme="minorEastAsia" w:eastAsiaTheme="minorEastAsia"/>
          <w:sz w:val="28"/>
          <w:szCs w:val="28"/>
        </w:rPr>
      </w:pPr>
    </w:p>
    <w:p w14:paraId="5D779C38">
      <w:pPr>
        <w:spacing w:line="360" w:lineRule="exact"/>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50B0F280">
      <w:pPr>
        <w:rPr>
          <w:rFonts w:hint="eastAsia" w:asciiTheme="minorEastAsia" w:hAnsiTheme="minorEastAsia" w:eastAsiaTheme="minorEastAsia"/>
          <w:sz w:val="28"/>
          <w:szCs w:val="28"/>
        </w:rPr>
      </w:pPr>
    </w:p>
    <w:p w14:paraId="2F53F06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附件：投标报价清单</w:t>
      </w:r>
    </w:p>
    <w:p w14:paraId="423A08A4">
      <w:pPr>
        <w:rPr>
          <w:rFonts w:hint="eastAsia" w:asciiTheme="minorEastAsia" w:hAnsiTheme="minorEastAsia" w:eastAsiaTheme="minorEastAsia"/>
          <w:sz w:val="28"/>
          <w:szCs w:val="28"/>
        </w:rPr>
      </w:pPr>
    </w:p>
    <w:tbl>
      <w:tblPr>
        <w:tblStyle w:val="20"/>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rPr>
            </w:pPr>
          </w:p>
        </w:tc>
      </w:tr>
    </w:tbl>
    <w:p w14:paraId="1710E006">
      <w:pPr>
        <w:jc w:val="center"/>
        <w:rPr>
          <w:rFonts w:hint="eastAsia" w:asciiTheme="minorEastAsia" w:hAnsiTheme="minorEastAsia" w:eastAsiaTheme="minorEastAsia"/>
          <w:sz w:val="28"/>
          <w:szCs w:val="28"/>
        </w:rPr>
      </w:pPr>
    </w:p>
    <w:p w14:paraId="548E1689">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D6EF84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二、投标委托代表人资格证明书</w:t>
      </w:r>
    </w:p>
    <w:p w14:paraId="2538C189">
      <w:pPr>
        <w:rPr>
          <w:rFonts w:hint="eastAsia" w:asciiTheme="minorEastAsia" w:hAnsiTheme="minorEastAsia" w:eastAsiaTheme="minorEastAsia"/>
          <w:sz w:val="28"/>
          <w:szCs w:val="28"/>
        </w:rPr>
      </w:pPr>
    </w:p>
    <w:p w14:paraId="0D6563F0">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p>
    <w:p w14:paraId="05B7A663">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14:paraId="7176E048">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rPr>
      </w:pPr>
    </w:p>
    <w:p w14:paraId="6FF5F0B1">
      <w:pPr>
        <w:spacing w:line="360" w:lineRule="auto"/>
        <w:ind w:firstLine="5460" w:firstLineChars="19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491FB0CF">
      <w:pPr>
        <w:spacing w:line="360" w:lineRule="auto"/>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5FCECE70">
      <w:pPr>
        <w:jc w:val="center"/>
        <w:rPr>
          <w:rFonts w:hint="eastAsia" w:asciiTheme="minorEastAsia" w:hAnsiTheme="minorEastAsia" w:eastAsiaTheme="minorEastAsia"/>
          <w:b/>
          <w:sz w:val="28"/>
          <w:szCs w:val="28"/>
        </w:rPr>
      </w:pPr>
    </w:p>
    <w:p w14:paraId="1BD28557">
      <w:pPr>
        <w:jc w:val="center"/>
        <w:rPr>
          <w:rFonts w:hint="eastAsia" w:asciiTheme="minorEastAsia" w:hAnsiTheme="minorEastAsia" w:eastAsiaTheme="minorEastAsia"/>
          <w:b/>
          <w:sz w:val="28"/>
          <w:szCs w:val="28"/>
        </w:rPr>
      </w:pPr>
    </w:p>
    <w:p w14:paraId="1D7AC0BA">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6522E99">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sz w:val="28"/>
          <w:szCs w:val="28"/>
        </w:rPr>
        <w:t>日期：     年    月   日</w:t>
      </w:r>
    </w:p>
    <w:p w14:paraId="775D62A5">
      <w:pPr>
        <w:spacing w:line="380" w:lineRule="exact"/>
        <w:rPr>
          <w:rFonts w:hint="eastAsia" w:asciiTheme="minorEastAsia" w:hAnsiTheme="minorEastAsia" w:eastAsiaTheme="minorEastAsia"/>
          <w:sz w:val="28"/>
          <w:szCs w:val="28"/>
        </w:rPr>
      </w:pPr>
    </w:p>
    <w:p w14:paraId="549E3C17">
      <w:pPr>
        <w:adjustRightInd/>
        <w:snapToGrid/>
        <w:spacing w:after="0"/>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27D9FD67">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70DB219F">
      <w:pPr>
        <w:pStyle w:val="45"/>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21A5BC5C">
      <w:pPr>
        <w:pStyle w:val="45"/>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6E37E8F7">
      <w:pPr>
        <w:pStyle w:val="45"/>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71F139DF">
      <w:pPr>
        <w:pStyle w:val="45"/>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4E4620D0">
      <w:pPr>
        <w:pStyle w:val="45"/>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7365AEB1">
      <w:pPr>
        <w:pStyle w:val="45"/>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1EEBA20E">
      <w:pPr>
        <w:pStyle w:val="45"/>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0B4C056">
      <w:pPr>
        <w:pStyle w:val="45"/>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143877F">
      <w:pPr>
        <w:pStyle w:val="45"/>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56B1EE53">
      <w:pPr>
        <w:pStyle w:val="45"/>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310C22B">
      <w:pPr>
        <w:pStyle w:val="45"/>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4F5A132">
      <w:pPr>
        <w:pStyle w:val="45"/>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4E35D022">
      <w:pPr>
        <w:pStyle w:val="45"/>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017E9873">
      <w:pPr>
        <w:pStyle w:val="45"/>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45"/>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45"/>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21482652">
      <w:pPr>
        <w:pStyle w:val="45"/>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67F2D873">
      <w:pPr>
        <w:pStyle w:val="45"/>
        <w:ind w:firstLine="480"/>
        <w:rPr>
          <w:rFonts w:cs="宋体" w:asciiTheme="minorEastAsia" w:hAnsiTheme="minorEastAsia" w:eastAsiaTheme="minorEastAsia"/>
          <w:bCs/>
        </w:rPr>
      </w:pPr>
      <w:r>
        <w:rPr>
          <w:rFonts w:cs="宋体" w:asciiTheme="minorEastAsia" w:hAnsiTheme="minorEastAsia" w:eastAsiaTheme="minorEastAsia"/>
          <w:bCs/>
        </w:rPr>
        <w:t>注：</w:t>
      </w:r>
    </w:p>
    <w:p w14:paraId="6A66AA9D">
      <w:pPr>
        <w:pStyle w:val="45"/>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7FAC2605">
      <w:pPr>
        <w:pStyle w:val="45"/>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rPr>
      </w:pPr>
    </w:p>
    <w:p w14:paraId="6499E7C3">
      <w:pPr>
        <w:spacing w:line="380" w:lineRule="exact"/>
        <w:ind w:firstLine="560" w:firstLineChars="200"/>
        <w:rPr>
          <w:rFonts w:hint="eastAsia" w:asciiTheme="minorEastAsia" w:hAnsiTheme="minorEastAsia" w:eastAsiaTheme="minorEastAsia"/>
          <w:sz w:val="28"/>
          <w:szCs w:val="28"/>
        </w:rPr>
      </w:pPr>
    </w:p>
    <w:p w14:paraId="079D3AA6">
      <w:pPr>
        <w:adjustRightInd/>
        <w:snapToGrid/>
        <w:spacing w:after="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329">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ykH1AAAAAIBAAAPAAAAAAAAAAEAIAAAACIAAABkcnMv&#10;ZG93bnJldi54bWxQSwECFAAUAAAACACHTuJACAbuzM4BAACUAwAADgAAAAAAAAABACAAAAAjAQAA&#10;ZHJzL2Uyb0RvYy54bWxQSwUGAAAAAAYABgBZAQAAYwUAAAAA&#10;">
              <v:fill on="f" focussize="0,0"/>
              <v:stroke on="f" weight="1.25pt"/>
              <v:imagedata o:title=""/>
              <o:lock v:ext="edit" aspectratio="f"/>
              <v:textbox inset="0mm,0mm,0mm,0mm" style="mso-fit-shape-to-text:t;">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9"/>
    <w:rsid w:val="00013AC5"/>
    <w:rsid w:val="000320C1"/>
    <w:rsid w:val="00065CB7"/>
    <w:rsid w:val="00092AEB"/>
    <w:rsid w:val="000B3136"/>
    <w:rsid w:val="000B7CA6"/>
    <w:rsid w:val="001B5C27"/>
    <w:rsid w:val="001B6716"/>
    <w:rsid w:val="001F51BB"/>
    <w:rsid w:val="0021062C"/>
    <w:rsid w:val="00211344"/>
    <w:rsid w:val="00225DC2"/>
    <w:rsid w:val="00330428"/>
    <w:rsid w:val="00336AC4"/>
    <w:rsid w:val="0036389C"/>
    <w:rsid w:val="003922F0"/>
    <w:rsid w:val="003A6874"/>
    <w:rsid w:val="003A7B36"/>
    <w:rsid w:val="003E144E"/>
    <w:rsid w:val="003F3649"/>
    <w:rsid w:val="003F5A88"/>
    <w:rsid w:val="004016DF"/>
    <w:rsid w:val="00416AAC"/>
    <w:rsid w:val="00446A47"/>
    <w:rsid w:val="0046656A"/>
    <w:rsid w:val="004A2659"/>
    <w:rsid w:val="004C23E5"/>
    <w:rsid w:val="00502F57"/>
    <w:rsid w:val="00565257"/>
    <w:rsid w:val="0059776B"/>
    <w:rsid w:val="005F00CE"/>
    <w:rsid w:val="0060707B"/>
    <w:rsid w:val="00607468"/>
    <w:rsid w:val="006464A9"/>
    <w:rsid w:val="00690C13"/>
    <w:rsid w:val="006B0872"/>
    <w:rsid w:val="006F3981"/>
    <w:rsid w:val="00740DD3"/>
    <w:rsid w:val="00761396"/>
    <w:rsid w:val="00797D47"/>
    <w:rsid w:val="007B2333"/>
    <w:rsid w:val="007C3AA7"/>
    <w:rsid w:val="007C76F4"/>
    <w:rsid w:val="00806F36"/>
    <w:rsid w:val="00857633"/>
    <w:rsid w:val="0088152F"/>
    <w:rsid w:val="00885C59"/>
    <w:rsid w:val="008B2DC2"/>
    <w:rsid w:val="008E5D2A"/>
    <w:rsid w:val="009339AC"/>
    <w:rsid w:val="0093412E"/>
    <w:rsid w:val="009341D8"/>
    <w:rsid w:val="00947491"/>
    <w:rsid w:val="00960B8D"/>
    <w:rsid w:val="009636DE"/>
    <w:rsid w:val="009B2E41"/>
    <w:rsid w:val="009C77EE"/>
    <w:rsid w:val="00A16AD3"/>
    <w:rsid w:val="00A41555"/>
    <w:rsid w:val="00A41C1C"/>
    <w:rsid w:val="00A75611"/>
    <w:rsid w:val="00A7622D"/>
    <w:rsid w:val="00AA0C87"/>
    <w:rsid w:val="00AB0757"/>
    <w:rsid w:val="00AB0BC2"/>
    <w:rsid w:val="00AE21F5"/>
    <w:rsid w:val="00B25931"/>
    <w:rsid w:val="00B32ADB"/>
    <w:rsid w:val="00B3455A"/>
    <w:rsid w:val="00B35FB2"/>
    <w:rsid w:val="00B463E5"/>
    <w:rsid w:val="00B74E36"/>
    <w:rsid w:val="00BB14F3"/>
    <w:rsid w:val="00C23C58"/>
    <w:rsid w:val="00C951E7"/>
    <w:rsid w:val="00CA0C34"/>
    <w:rsid w:val="00CB3BD4"/>
    <w:rsid w:val="00CE13ED"/>
    <w:rsid w:val="00CF2EAB"/>
    <w:rsid w:val="00D114D7"/>
    <w:rsid w:val="00D42D09"/>
    <w:rsid w:val="00D44F14"/>
    <w:rsid w:val="00D522A1"/>
    <w:rsid w:val="00DD38FE"/>
    <w:rsid w:val="00DE52CD"/>
    <w:rsid w:val="00DE6E02"/>
    <w:rsid w:val="00DE7BA8"/>
    <w:rsid w:val="00DF375A"/>
    <w:rsid w:val="00E27523"/>
    <w:rsid w:val="00E360F1"/>
    <w:rsid w:val="00E816F8"/>
    <w:rsid w:val="00E95090"/>
    <w:rsid w:val="00EA0386"/>
    <w:rsid w:val="00EA5D85"/>
    <w:rsid w:val="00EB1D74"/>
    <w:rsid w:val="00EB6196"/>
    <w:rsid w:val="00ED0F5B"/>
    <w:rsid w:val="00EE1F3B"/>
    <w:rsid w:val="00EF3C6A"/>
    <w:rsid w:val="00F5251D"/>
    <w:rsid w:val="00F63488"/>
    <w:rsid w:val="00F70354"/>
    <w:rsid w:val="00F71189"/>
    <w:rsid w:val="00FC01C5"/>
    <w:rsid w:val="00FE0D24"/>
    <w:rsid w:val="6EBE6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14:ligatures w14:val="standardContextual"/>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link w:val="47"/>
    <w:semiHidden/>
    <w:unhideWhenUsed/>
    <w:qFormat/>
    <w:uiPriority w:val="99"/>
    <w:pPr>
      <w:spacing w:after="120"/>
    </w:pPr>
  </w:style>
  <w:style w:type="paragraph" w:styleId="12">
    <w:name w:val="Normal Indent"/>
    <w:basedOn w:val="1"/>
    <w:link w:val="46"/>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2"/>
    <w:unhideWhenUsed/>
    <w:qFormat/>
    <w:uiPriority w:val="99"/>
    <w:pPr>
      <w:tabs>
        <w:tab w:val="center" w:pos="4153"/>
        <w:tab w:val="right" w:pos="8306"/>
      </w:tabs>
    </w:pPr>
    <w:rPr>
      <w:sz w:val="18"/>
      <w:szCs w:val="18"/>
    </w:rPr>
  </w:style>
  <w:style w:type="paragraph" w:styleId="14">
    <w:name w:val="header"/>
    <w:basedOn w:val="1"/>
    <w:link w:val="41"/>
    <w:unhideWhenUsed/>
    <w:qFormat/>
    <w:uiPriority w:val="99"/>
    <w:pPr>
      <w:tabs>
        <w:tab w:val="center" w:pos="4153"/>
        <w:tab w:val="right" w:pos="8306"/>
      </w:tabs>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3"/>
    <w:qFormat/>
    <w:uiPriority w:val="0"/>
    <w:pPr>
      <w:spacing w:after="120" w:line="480" w:lineRule="auto"/>
    </w:p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Hyperlink"/>
    <w:basedOn w:val="21"/>
    <w:qFormat/>
    <w:uiPriority w:val="0"/>
    <w:rPr>
      <w:color w:val="0000FF" w:themeColor="hyperlink"/>
      <w:u w:val="single"/>
      <w14:textFill>
        <w14:solidFill>
          <w14:schemeClr w14:val="hlink"/>
        </w14:solidFill>
      </w14:textFill>
    </w:rPr>
  </w:style>
  <w:style w:type="character" w:customStyle="1" w:styleId="23">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6">
    <w:name w:val="标题 4 字符"/>
    <w:basedOn w:val="21"/>
    <w:link w:val="6"/>
    <w:semiHidden/>
    <w:qFormat/>
    <w:uiPriority w:val="9"/>
    <w:rPr>
      <w:rFonts w:cstheme="majorBidi"/>
      <w:color w:val="376092" w:themeColor="accent1" w:themeShade="BF"/>
      <w:sz w:val="28"/>
      <w:szCs w:val="28"/>
    </w:rPr>
  </w:style>
  <w:style w:type="character" w:customStyle="1" w:styleId="27">
    <w:name w:val="标题 5 字符"/>
    <w:basedOn w:val="21"/>
    <w:link w:val="7"/>
    <w:semiHidden/>
    <w:uiPriority w:val="9"/>
    <w:rPr>
      <w:rFonts w:cstheme="majorBidi"/>
      <w:color w:val="376092" w:themeColor="accent1" w:themeShade="BF"/>
      <w:sz w:val="24"/>
      <w:szCs w:val="24"/>
    </w:rPr>
  </w:style>
  <w:style w:type="character" w:customStyle="1" w:styleId="28">
    <w:name w:val="标题 6 字符"/>
    <w:basedOn w:val="21"/>
    <w:link w:val="8"/>
    <w:semiHidden/>
    <w:qFormat/>
    <w:uiPriority w:val="9"/>
    <w:rPr>
      <w:rFonts w:cstheme="majorBidi"/>
      <w:b/>
      <w:bCs/>
      <w:color w:val="376092" w:themeColor="accent1" w:themeShade="BF"/>
    </w:rPr>
  </w:style>
  <w:style w:type="character" w:customStyle="1" w:styleId="29">
    <w:name w:val="标题 7 字符"/>
    <w:basedOn w:val="21"/>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9"/>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Intense Emphasis"/>
    <w:basedOn w:val="21"/>
    <w:qFormat/>
    <w:uiPriority w:val="21"/>
    <w:rPr>
      <w:i/>
      <w:iCs/>
      <w:color w:val="376092" w:themeColor="accent1" w:themeShade="BF"/>
    </w:rPr>
  </w:style>
  <w:style w:type="paragraph" w:styleId="38">
    <w:name w:val="Intense Quote"/>
    <w:basedOn w:val="1"/>
    <w:next w:val="1"/>
    <w:link w:val="3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9">
    <w:name w:val="明显引用 字符"/>
    <w:basedOn w:val="21"/>
    <w:link w:val="38"/>
    <w:qFormat/>
    <w:uiPriority w:val="30"/>
    <w:rPr>
      <w:i/>
      <w:iCs/>
      <w:color w:val="376092" w:themeColor="accent1" w:themeShade="BF"/>
    </w:rPr>
  </w:style>
  <w:style w:type="character" w:customStyle="1" w:styleId="40">
    <w:name w:val="Intense Reference"/>
    <w:basedOn w:val="21"/>
    <w:qFormat/>
    <w:uiPriority w:val="32"/>
    <w:rPr>
      <w:b/>
      <w:bCs/>
      <w:smallCaps/>
      <w:color w:val="376092" w:themeColor="accent1" w:themeShade="BF"/>
      <w:spacing w:val="5"/>
    </w:rPr>
  </w:style>
  <w:style w:type="character" w:customStyle="1" w:styleId="41">
    <w:name w:val="页眉 字符"/>
    <w:basedOn w:val="21"/>
    <w:link w:val="14"/>
    <w:uiPriority w:val="99"/>
    <w:rPr>
      <w:sz w:val="18"/>
      <w:szCs w:val="18"/>
    </w:rPr>
  </w:style>
  <w:style w:type="character" w:customStyle="1" w:styleId="42">
    <w:name w:val="页脚 字符"/>
    <w:basedOn w:val="21"/>
    <w:link w:val="13"/>
    <w:uiPriority w:val="99"/>
    <w:rPr>
      <w:sz w:val="18"/>
      <w:szCs w:val="18"/>
    </w:rPr>
  </w:style>
  <w:style w:type="character" w:customStyle="1" w:styleId="43">
    <w:name w:val="正文文本 2 字符"/>
    <w:basedOn w:val="21"/>
    <w:link w:val="16"/>
    <w:qFormat/>
    <w:uiPriority w:val="0"/>
    <w:rPr>
      <w:rFonts w:ascii="Tahoma" w:hAnsi="Tahoma" w:eastAsia="微软雅黑" w:cs="Times New Roman"/>
      <w:kern w:val="0"/>
      <w:sz w:val="22"/>
    </w:rPr>
  </w:style>
  <w:style w:type="character" w:customStyle="1" w:styleId="44">
    <w:name w:val="HTML 预设格式 字符"/>
    <w:basedOn w:val="21"/>
    <w:link w:val="17"/>
    <w:qFormat/>
    <w:uiPriority w:val="0"/>
    <w:rPr>
      <w:rFonts w:ascii="宋体" w:hAnsi="宋体" w:eastAsia="宋体" w:cs="Times New Roman"/>
      <w:kern w:val="0"/>
      <w:sz w:val="24"/>
      <w:szCs w:val="24"/>
    </w:rPr>
  </w:style>
  <w:style w:type="paragraph" w:customStyle="1" w:styleId="45">
    <w:name w:val="null3"/>
    <w:qFormat/>
    <w:uiPriority w:val="0"/>
    <w:rPr>
      <w:rFonts w:hint="eastAsia" w:ascii="Calibri" w:hAnsi="Calibri" w:eastAsia="宋体" w:cs="Times New Roman"/>
      <w:kern w:val="0"/>
      <w:sz w:val="20"/>
      <w:szCs w:val="20"/>
      <w:lang w:val="en-US" w:eastAsia="zh-CN" w:bidi="ar-SA"/>
      <w14:ligatures w14:val="standardContextual"/>
    </w:rPr>
  </w:style>
  <w:style w:type="character" w:customStyle="1" w:styleId="46">
    <w:name w:val="正文缩进 字符"/>
    <w:link w:val="12"/>
    <w:qFormat/>
    <w:uiPriority w:val="0"/>
    <w:rPr>
      <w:rFonts w:ascii="Times New Roman" w:hAnsi="Times New Roman" w:eastAsia="宋体" w:cs="Times New Roman"/>
      <w:kern w:val="0"/>
      <w:sz w:val="20"/>
      <w:szCs w:val="20"/>
    </w:rPr>
  </w:style>
  <w:style w:type="character" w:customStyle="1" w:styleId="47">
    <w:name w:val="正文文本 字符"/>
    <w:basedOn w:val="21"/>
    <w:link w:val="2"/>
    <w:semiHidden/>
    <w:uiPriority w:val="99"/>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85D20-C8A4-4D5B-8EFB-88E438883D6C}">
  <ds:schemaRefs/>
</ds:datastoreItem>
</file>

<file path=docProps/app.xml><?xml version="1.0" encoding="utf-8"?>
<Properties xmlns="http://schemas.openxmlformats.org/officeDocument/2006/extended-properties" xmlns:vt="http://schemas.openxmlformats.org/officeDocument/2006/docPropsVTypes">
  <Template>Normal</Template>
  <Pages>23</Pages>
  <Words>4419</Words>
  <Characters>4635</Characters>
  <Lines>80</Lines>
  <Paragraphs>22</Paragraphs>
  <TotalTime>330</TotalTime>
  <ScaleCrop>false</ScaleCrop>
  <LinksUpToDate>false</LinksUpToDate>
  <CharactersWithSpaces>4646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miracle</cp:lastModifiedBy>
  <cp:lastPrinted>2024-07-18T07:30:00Z</cp:lastPrinted>
  <dcterms:modified xsi:type="dcterms:W3CDTF">2024-11-21T03:35:14Z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39F05A5A41C24EBE9BFC7E6937A978C4_13</vt:lpwstr>
  </property>
</Properties>
</file>