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5545">
      <w:pPr>
        <w:pStyle w:val="18"/>
        <w:spacing w:before="75" w:beforeAutospacing="0" w:after="75" w:afterAutospacing="0"/>
        <w:jc w:val="both"/>
        <w:rPr>
          <w:rFonts w:hint="eastAsia" w:ascii="宋体" w:hAnsi="宋体" w:eastAsia="宋体" w:cs="宋体"/>
          <w:b/>
          <w:bCs/>
          <w:sz w:val="32"/>
          <w:szCs w:val="32"/>
        </w:rPr>
      </w:pPr>
    </w:p>
    <w:p w14:paraId="67409BEA">
      <w:pPr>
        <w:adjustRightInd/>
        <w:snapToGrid/>
        <w:spacing w:after="0" w:line="480" w:lineRule="atLeast"/>
        <w:jc w:val="center"/>
        <w:rPr>
          <w:rFonts w:hint="eastAsia" w:ascii="宋体" w:hAnsi="宋体" w:eastAsia="宋体" w:cs="宋体"/>
          <w:b/>
          <w:bCs/>
          <w:color w:val="404040"/>
          <w:sz w:val="32"/>
          <w:szCs w:val="32"/>
        </w:rPr>
      </w:pPr>
      <w:bookmarkStart w:id="0" w:name="_Hlk181695900"/>
      <w:bookmarkStart w:id="1" w:name="_Hlk181628789"/>
      <w:r>
        <w:rPr>
          <w:rFonts w:ascii="宋体" w:hAnsi="宋体" w:eastAsia="宋体" w:cs="宋体"/>
          <w:b/>
          <w:bCs/>
          <w:color w:val="404040"/>
          <w:sz w:val="32"/>
          <w:szCs w:val="32"/>
        </w:rPr>
        <w:t>福建省肿瘤医院</w:t>
      </w:r>
      <w:r>
        <w:rPr>
          <w:rFonts w:hint="eastAsia" w:ascii="宋体" w:hAnsi="宋体" w:eastAsia="宋体" w:cs="宋体"/>
          <w:b/>
          <w:bCs/>
          <w:color w:val="404040"/>
          <w:sz w:val="32"/>
          <w:szCs w:val="32"/>
        </w:rPr>
        <w:t>太平间委托管理服务遴选</w:t>
      </w:r>
    </w:p>
    <w:bookmarkEnd w:id="0"/>
    <w:p w14:paraId="0F991242">
      <w:pPr>
        <w:adjustRightInd/>
        <w:snapToGrid/>
        <w:spacing w:after="0" w:line="480" w:lineRule="atLeast"/>
        <w:jc w:val="center"/>
        <w:rPr>
          <w:rFonts w:hint="eastAsia" w:ascii="宋体" w:hAnsi="宋体" w:eastAsia="宋体" w:cs="宋体"/>
          <w:b/>
          <w:bCs/>
          <w:color w:val="404040"/>
          <w:sz w:val="32"/>
          <w:szCs w:val="32"/>
        </w:rPr>
      </w:pPr>
      <w:r>
        <w:rPr>
          <w:rFonts w:hint="eastAsia" w:ascii="宋体" w:hAnsi="宋体" w:eastAsia="宋体" w:cs="宋体"/>
          <w:b/>
          <w:bCs/>
          <w:color w:val="404040"/>
          <w:sz w:val="32"/>
          <w:szCs w:val="32"/>
        </w:rPr>
        <w:t>项目</w:t>
      </w:r>
      <w:bookmarkEnd w:id="1"/>
      <w:r>
        <w:rPr>
          <w:rFonts w:hint="eastAsia" w:ascii="宋体" w:hAnsi="宋体" w:eastAsia="宋体" w:cs="宋体"/>
          <w:b/>
          <w:bCs/>
          <w:color w:val="404040"/>
          <w:sz w:val="32"/>
          <w:szCs w:val="32"/>
        </w:rPr>
        <w:t>招标公告</w:t>
      </w:r>
    </w:p>
    <w:p w14:paraId="610F10B1">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一、招标项目概况和范围</w:t>
      </w:r>
    </w:p>
    <w:p w14:paraId="2BB52824">
      <w:pPr>
        <w:pStyle w:val="25"/>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项目名称：福建省肿瘤医院太平间委托管理服务遴选项目</w:t>
      </w:r>
    </w:p>
    <w:p w14:paraId="574E18E2">
      <w:pPr>
        <w:pStyle w:val="25"/>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项目地点：福马路420号。</w:t>
      </w:r>
    </w:p>
    <w:p w14:paraId="4355CA37">
      <w:pPr>
        <w:pStyle w:val="25"/>
        <w:numPr>
          <w:ilvl w:val="0"/>
          <w:numId w:val="1"/>
        </w:numPr>
        <w:adjustRightInd/>
        <w:snapToGrid/>
        <w:spacing w:after="0" w:line="480" w:lineRule="atLeast"/>
        <w:rPr>
          <w:rFonts w:hint="eastAsia" w:ascii="宋体" w:hAnsi="宋体" w:eastAsia="宋体" w:cs="宋体"/>
          <w:color w:val="404040"/>
          <w:sz w:val="26"/>
          <w:szCs w:val="26"/>
        </w:rPr>
      </w:pPr>
      <w:r>
        <w:rPr>
          <w:rFonts w:hint="eastAsia" w:ascii="宋体" w:hAnsi="宋体" w:eastAsia="宋体" w:cs="宋体"/>
          <w:color w:val="404040"/>
          <w:sz w:val="26"/>
          <w:szCs w:val="26"/>
        </w:rPr>
        <w:t>招标范围和内容：见附件。</w:t>
      </w:r>
    </w:p>
    <w:p w14:paraId="57301B1F">
      <w:pPr>
        <w:adjustRightInd/>
        <w:snapToGrid/>
        <w:spacing w:before="150" w:after="0" w:line="480" w:lineRule="atLeast"/>
        <w:jc w:val="both"/>
        <w:rPr>
          <w:rFonts w:hint="eastAsia" w:ascii="宋体" w:hAnsi="宋体" w:eastAsia="宋体" w:cs="宋体"/>
          <w:b/>
          <w:bCs/>
          <w:color w:val="404040"/>
          <w:sz w:val="26"/>
        </w:rPr>
      </w:pPr>
      <w:r>
        <w:rPr>
          <w:rFonts w:hint="eastAsia" w:ascii="宋体" w:hAnsi="宋体" w:eastAsia="宋体" w:cs="宋体"/>
          <w:b/>
          <w:bCs/>
          <w:color w:val="404040"/>
          <w:sz w:val="26"/>
        </w:rPr>
        <w:t>二、投标人资格要求及审查办法</w:t>
      </w:r>
    </w:p>
    <w:p w14:paraId="159E2C23">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493D5C1D">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营业执照。</w:t>
      </w:r>
    </w:p>
    <w:p w14:paraId="559B5194">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6975AEFB">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财务状况报告（最近一个年度经审计的财务报告或资信证明或投标担保函）；</w:t>
      </w:r>
    </w:p>
    <w:p w14:paraId="54A6B9EB">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51C23628">
      <w:pPr>
        <w:numPr>
          <w:ilvl w:val="0"/>
          <w:numId w:val="2"/>
        </w:numPr>
        <w:adjustRightInd/>
        <w:snapToGrid/>
        <w:spacing w:before="150" w:after="0" w:line="480" w:lineRule="atLeast"/>
        <w:jc w:val="both"/>
        <w:rPr>
          <w:rFonts w:hint="eastAsia" w:ascii="宋体" w:hAnsi="宋体" w:eastAsia="宋体"/>
        </w:rPr>
      </w:pPr>
      <w:r>
        <w:rPr>
          <w:rFonts w:hint="eastAsia" w:ascii="宋体" w:hAnsi="宋体" w:eastAsia="宋体" w:cs="宋体"/>
          <w:color w:val="404040"/>
          <w:sz w:val="26"/>
          <w:szCs w:val="26"/>
        </w:rPr>
        <w:t>具备履行合同所必需设备和专业技术能力的声明函；</w:t>
      </w:r>
    </w:p>
    <w:p w14:paraId="20D7EE25">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075CDCF8">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16D78334">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HYPERLINK "http://www.creditchina.gov.cn/" </w:instrText>
      </w:r>
      <w:r>
        <w:fldChar w:fldCharType="separate"/>
      </w:r>
      <w:r>
        <w:rPr>
          <w:rStyle w:val="23"/>
          <w:rFonts w:hint="eastAsia" w:ascii="宋体" w:hAnsi="宋体" w:eastAsia="宋体" w:cs="宋体"/>
          <w:sz w:val="26"/>
          <w:szCs w:val="26"/>
        </w:rPr>
        <w:t>www.creditchina.gov.cn</w:t>
      </w:r>
      <w:r>
        <w:fldChar w:fldCharType="end"/>
      </w:r>
      <w:r>
        <w:rPr>
          <w:rFonts w:hint="eastAsia" w:ascii="宋体" w:hAnsi="宋体" w:eastAsia="宋体" w:cs="宋体"/>
          <w:color w:val="404040"/>
          <w:sz w:val="26"/>
          <w:szCs w:val="26"/>
        </w:rPr>
        <w:t>)”、“中国政府采购网(</w:t>
      </w:r>
      <w:r>
        <w:fldChar w:fldCharType="begin"/>
      </w:r>
      <w:r>
        <w:instrText xml:space="preserve">HYPERLINK "http://www.ccgp.gov.cn/" </w:instrText>
      </w:r>
      <w:r>
        <w:fldChar w:fldCharType="separate"/>
      </w:r>
      <w:r>
        <w:rPr>
          <w:rStyle w:val="23"/>
          <w:rFonts w:hint="eastAsia" w:ascii="宋体" w:hAnsi="宋体" w:eastAsia="宋体" w:cs="宋体"/>
          <w:sz w:val="26"/>
          <w:szCs w:val="26"/>
        </w:rPr>
        <w:t>www.ccgp.gov.cn</w:t>
      </w:r>
      <w:r>
        <w:fldChar w:fldCharType="end"/>
      </w:r>
      <w:r>
        <w:rPr>
          <w:rFonts w:hint="eastAsia" w:ascii="宋体" w:hAnsi="宋体" w:eastAsia="宋体" w:cs="宋体"/>
          <w:color w:val="404040"/>
          <w:sz w:val="26"/>
          <w:szCs w:val="26"/>
        </w:rPr>
        <w:t>)”查询并打印相应的信用记录。</w:t>
      </w:r>
    </w:p>
    <w:p w14:paraId="02C96977">
      <w:pPr>
        <w:numPr>
          <w:ilvl w:val="0"/>
          <w:numId w:val="2"/>
        </w:num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69A6064B">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12DD203B">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1C06F2BE">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三、招标文件的获取</w:t>
      </w:r>
    </w:p>
    <w:p w14:paraId="7AFBC159">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color w:val="404040"/>
          <w:sz w:val="26"/>
          <w:szCs w:val="26"/>
        </w:rPr>
        <w:t>1、本招标项目不采用电子招投标。</w:t>
      </w:r>
    </w:p>
    <w:p w14:paraId="700FC19A">
      <w:p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2、凡有意参加投标者，均可在福建省肿瘤医院官网（https://www.fjzl.com.cn）下载与本项目相关的招标信息（包括招标文件、招标文件补充说明等），并于2024年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7</w:t>
      </w:r>
      <w:r>
        <w:rPr>
          <w:rFonts w:hint="eastAsia" w:ascii="宋体" w:hAnsi="宋体" w:eastAsia="宋体" w:cs="宋体"/>
          <w:color w:val="404040"/>
          <w:sz w:val="26"/>
          <w:szCs w:val="26"/>
        </w:rPr>
        <w:t>日至2024年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13</w:t>
      </w:r>
      <w:r>
        <w:rPr>
          <w:rFonts w:hint="eastAsia" w:ascii="宋体" w:hAnsi="宋体" w:eastAsia="宋体" w:cs="宋体"/>
          <w:color w:val="404040"/>
          <w:sz w:val="26"/>
          <w:szCs w:val="26"/>
        </w:rPr>
        <w:t xml:space="preserve"> 日(节假日除外)8：00-12：00或14：</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0-17：</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0，携带加盖公章的营业执照复印件、介绍信前往福建省肿瘤医院总务科报名。</w:t>
      </w:r>
    </w:p>
    <w:p w14:paraId="7123BDBB">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color w:val="404040"/>
          <w:sz w:val="26"/>
          <w:szCs w:val="26"/>
        </w:rPr>
        <w:t>项目联系人：陈女士      联系电话：0591-62752801</w:t>
      </w:r>
    </w:p>
    <w:p w14:paraId="67646DEF">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四、答疑截止时间</w:t>
      </w:r>
    </w:p>
    <w:p w14:paraId="469AFB2C">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2667989E">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五、投标文件的要求及递交</w:t>
      </w:r>
    </w:p>
    <w:p w14:paraId="5BFC507C">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1、投标文件正本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份胶装并密封加盖投标人公章。投标文件未胶装密封将导致其投标文件被拒绝。</w:t>
      </w:r>
    </w:p>
    <w:p w14:paraId="654D2EBE">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2、投标文件递交的截止时间：2024年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14</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9</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0，提交地点为福建省肿瘤医院总务科，未送达指定地点或逾期送达者拒收。</w:t>
      </w:r>
    </w:p>
    <w:p w14:paraId="6102406A">
      <w:pPr>
        <w:adjustRightInd/>
        <w:snapToGrid/>
        <w:spacing w:before="150" w:after="0" w:line="480" w:lineRule="atLeast"/>
        <w:jc w:val="both"/>
        <w:rPr>
          <w:rFonts w:hint="eastAsia" w:ascii="宋体" w:hAnsi="宋体" w:eastAsia="宋体" w:cs="宋体"/>
          <w:b/>
          <w:bCs/>
          <w:color w:val="404040"/>
          <w:sz w:val="26"/>
        </w:rPr>
      </w:pPr>
      <w:r>
        <w:rPr>
          <w:rFonts w:hint="eastAsia" w:ascii="宋体" w:hAnsi="宋体" w:eastAsia="宋体" w:cs="宋体"/>
          <w:b/>
          <w:bCs/>
          <w:color w:val="404040"/>
          <w:sz w:val="26"/>
        </w:rPr>
        <w:t>六、开标评标时间地点</w:t>
      </w:r>
    </w:p>
    <w:p w14:paraId="6680C04C">
      <w:pPr>
        <w:adjustRightInd/>
        <w:snapToGrid/>
        <w:spacing w:before="150" w:after="0" w:line="480" w:lineRule="atLeast"/>
        <w:ind w:firstLine="390" w:firstLineChars="150"/>
        <w:jc w:val="both"/>
        <w:rPr>
          <w:rFonts w:hint="eastAsia" w:ascii="宋体" w:hAnsi="宋体" w:eastAsia="宋体" w:cs="宋体"/>
          <w:color w:val="404040"/>
          <w:sz w:val="26"/>
          <w:szCs w:val="26"/>
        </w:rPr>
      </w:pPr>
      <w:r>
        <w:rPr>
          <w:rFonts w:hint="eastAsia" w:ascii="宋体" w:hAnsi="宋体" w:eastAsia="宋体" w:cs="宋体"/>
          <w:color w:val="404040"/>
          <w:sz w:val="26"/>
          <w:szCs w:val="26"/>
        </w:rPr>
        <w:t>1、开标时间：2024年</w:t>
      </w:r>
      <w:r>
        <w:rPr>
          <w:rFonts w:hint="eastAsia" w:ascii="宋体" w:hAnsi="宋体" w:eastAsia="宋体" w:cs="宋体"/>
          <w:color w:val="404040"/>
          <w:sz w:val="26"/>
          <w:szCs w:val="26"/>
          <w:lang w:val="en-US" w:eastAsia="zh-CN"/>
        </w:rPr>
        <w:t>11</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14</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9</w:t>
      </w:r>
      <w:r>
        <w:rPr>
          <w:rFonts w:hint="eastAsia" w:ascii="宋体" w:hAnsi="宋体" w:eastAsia="宋体" w:cs="宋体"/>
          <w:color w:val="404040"/>
          <w:sz w:val="26"/>
          <w:szCs w:val="26"/>
        </w:rPr>
        <w:t>:</w:t>
      </w:r>
      <w:r>
        <w:rPr>
          <w:rFonts w:hint="eastAsia" w:ascii="宋体" w:hAnsi="宋体" w:eastAsia="宋体" w:cs="宋体"/>
          <w:color w:val="404040"/>
          <w:sz w:val="26"/>
          <w:szCs w:val="26"/>
          <w:lang w:val="en-US" w:eastAsia="zh-CN"/>
        </w:rPr>
        <w:t>0</w:t>
      </w:r>
      <w:r>
        <w:rPr>
          <w:rFonts w:hint="eastAsia" w:ascii="宋体" w:hAnsi="宋体" w:eastAsia="宋体" w:cs="宋体"/>
          <w:color w:val="404040"/>
          <w:sz w:val="26"/>
          <w:szCs w:val="26"/>
        </w:rPr>
        <w:t>0时</w:t>
      </w:r>
    </w:p>
    <w:p w14:paraId="2AD9949D">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2、评标时间：开标后即开始评标。</w:t>
      </w:r>
    </w:p>
    <w:p w14:paraId="43D2D6C2">
      <w:pPr>
        <w:adjustRightInd/>
        <w:snapToGrid/>
        <w:spacing w:before="150" w:after="0" w:line="480" w:lineRule="atLeast"/>
        <w:ind w:firstLine="520" w:firstLineChars="200"/>
        <w:jc w:val="both"/>
        <w:rPr>
          <w:rFonts w:hint="eastAsia" w:ascii="宋体" w:hAnsi="宋体" w:eastAsia="宋体" w:cs="宋体"/>
          <w:color w:val="404040"/>
          <w:sz w:val="26"/>
          <w:szCs w:val="26"/>
        </w:rPr>
      </w:pPr>
      <w:r>
        <w:rPr>
          <w:rFonts w:hint="eastAsia" w:ascii="宋体" w:hAnsi="宋体" w:eastAsia="宋体" w:cs="宋体"/>
          <w:color w:val="404040"/>
          <w:sz w:val="26"/>
          <w:szCs w:val="26"/>
        </w:rPr>
        <w:t>3、地点：福建省肿瘤医院科研楼一楼总务科</w:t>
      </w:r>
    </w:p>
    <w:p w14:paraId="7A434B83">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备注：</w:t>
      </w:r>
    </w:p>
    <w:p w14:paraId="0E83E502">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1. 未参加报名的潜在投标人，其投标文件将被拒绝。</w:t>
      </w:r>
    </w:p>
    <w:p w14:paraId="59AF5B71">
      <w:pPr>
        <w:spacing w:before="150" w:line="560" w:lineRule="exact"/>
        <w:ind w:firstLine="520" w:firstLineChars="200"/>
        <w:rPr>
          <w:rFonts w:hint="eastAsia" w:ascii="宋体" w:hAnsi="宋体" w:eastAsia="宋体" w:cs="宋体"/>
          <w:color w:val="404040"/>
          <w:sz w:val="26"/>
          <w:szCs w:val="26"/>
        </w:rPr>
      </w:pPr>
      <w:r>
        <w:rPr>
          <w:rFonts w:hint="eastAsia" w:ascii="宋体" w:hAnsi="宋体" w:eastAsia="宋体" w:cs="宋体"/>
          <w:color w:val="404040"/>
          <w:sz w:val="26"/>
          <w:szCs w:val="26"/>
        </w:rPr>
        <w:t>2.若有涉及招标文件内容更正，请各潜在投标人密切关注福建省肿瘤医院官网通知，以最新公告为准。</w:t>
      </w:r>
    </w:p>
    <w:p w14:paraId="1A8574D6">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八、评标原则及办法</w:t>
      </w:r>
    </w:p>
    <w:p w14:paraId="216E7212">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1、评标活动遵循公平、公正、科学和择优的原则。</w:t>
      </w:r>
    </w:p>
    <w:p w14:paraId="1E96DD8A">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2、评标方法：综合评分。</w:t>
      </w:r>
    </w:p>
    <w:p w14:paraId="277F6404">
      <w:pPr>
        <w:adjustRightInd/>
        <w:snapToGrid/>
        <w:spacing w:before="150" w:after="0" w:line="480" w:lineRule="atLeast"/>
        <w:ind w:firstLine="520" w:firstLineChars="200"/>
        <w:jc w:val="both"/>
        <w:rPr>
          <w:rFonts w:hint="eastAsia" w:ascii="宋体" w:hAnsi="宋体" w:eastAsia="宋体" w:cs="宋体"/>
          <w:color w:val="404040"/>
          <w:sz w:val="28"/>
          <w:szCs w:val="28"/>
        </w:rPr>
      </w:pPr>
      <w:r>
        <w:rPr>
          <w:rFonts w:hint="eastAsia" w:ascii="宋体" w:hAnsi="宋体" w:eastAsia="宋体" w:cs="宋体"/>
          <w:color w:val="404040"/>
          <w:sz w:val="26"/>
          <w:szCs w:val="26"/>
        </w:rPr>
        <w:t>3、投标人之间有相互串通投标、弄虚作假等违规行为者，将作废标处理，并在我院未来的项目招标中被拒绝接受投标。</w:t>
      </w:r>
    </w:p>
    <w:p w14:paraId="61A0689A">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九、合同条款内容及签订</w:t>
      </w:r>
    </w:p>
    <w:p w14:paraId="7DA637DF">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1、合同专用条款内容依照国家规范文本，合同通用条款内容解释依照国家规</w:t>
      </w:r>
      <w:r>
        <w:rPr>
          <w:rFonts w:hint="eastAsia" w:ascii="宋体" w:hAnsi="宋体" w:eastAsia="宋体" w:cs="宋体"/>
          <w:color w:val="404040"/>
          <w:sz w:val="28"/>
          <w:szCs w:val="28"/>
        </w:rPr>
        <w:t>范文本。</w:t>
      </w:r>
    </w:p>
    <w:p w14:paraId="30637C30">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2、合同签订：中标人在接到中标通知后3天内，应派代表与招标人联系，商讨签订合同事宜。</w:t>
      </w:r>
    </w:p>
    <w:p w14:paraId="79E3543B">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十、其他未详尽事宜</w:t>
      </w:r>
    </w:p>
    <w:p w14:paraId="63A5512B">
      <w:pPr>
        <w:adjustRightInd/>
        <w:snapToGrid/>
        <w:spacing w:before="150" w:after="0" w:line="480" w:lineRule="atLeast"/>
        <w:ind w:firstLine="480"/>
        <w:jc w:val="both"/>
        <w:rPr>
          <w:rFonts w:hint="eastAsia" w:ascii="宋体" w:hAnsi="宋体" w:eastAsia="宋体" w:cs="宋体"/>
          <w:color w:val="404040"/>
          <w:sz w:val="28"/>
          <w:szCs w:val="28"/>
        </w:rPr>
      </w:pPr>
      <w:r>
        <w:rPr>
          <w:rFonts w:hint="eastAsia" w:ascii="宋体" w:hAnsi="宋体" w:eastAsia="宋体" w:cs="宋体"/>
          <w:color w:val="404040"/>
          <w:sz w:val="26"/>
          <w:szCs w:val="26"/>
        </w:rPr>
        <w:t>依照国家政府采购和招投标有关规定。</w:t>
      </w:r>
    </w:p>
    <w:p w14:paraId="4D15FD23">
      <w:pPr>
        <w:adjustRightInd/>
        <w:snapToGrid/>
        <w:spacing w:before="150" w:after="0" w:line="480" w:lineRule="atLeast"/>
        <w:jc w:val="both"/>
        <w:rPr>
          <w:rFonts w:hint="eastAsia" w:ascii="宋体" w:hAnsi="宋体" w:eastAsia="宋体" w:cs="宋体"/>
          <w:color w:val="404040"/>
          <w:sz w:val="28"/>
          <w:szCs w:val="28"/>
        </w:rPr>
      </w:pPr>
      <w:r>
        <w:rPr>
          <w:rFonts w:hint="eastAsia" w:ascii="宋体" w:hAnsi="宋体" w:eastAsia="宋体" w:cs="宋体"/>
          <w:b/>
          <w:bCs/>
          <w:color w:val="404040"/>
          <w:sz w:val="26"/>
        </w:rPr>
        <w:t>十一、监督电话</w:t>
      </w:r>
    </w:p>
    <w:p w14:paraId="602C33AD">
      <w:pPr>
        <w:adjustRightInd/>
        <w:snapToGrid/>
        <w:spacing w:before="150" w:after="0" w:line="480" w:lineRule="atLeast"/>
        <w:ind w:firstLine="480"/>
        <w:jc w:val="both"/>
        <w:rPr>
          <w:rFonts w:hint="eastAsia"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545E07A1">
      <w:pPr>
        <w:pStyle w:val="16"/>
        <w:rPr>
          <w:rFonts w:hint="eastAsia" w:ascii="宋体" w:hAnsi="宋体" w:eastAsia="宋体" w:cs="仿宋_GB2312"/>
          <w:b/>
          <w:sz w:val="24"/>
          <w:szCs w:val="24"/>
        </w:rPr>
      </w:pPr>
    </w:p>
    <w:p w14:paraId="5DF9AC82">
      <w:pPr>
        <w:adjustRightInd/>
        <w:snapToGrid/>
        <w:spacing w:after="0"/>
        <w:rPr>
          <w:rFonts w:hint="eastAsia" w:ascii="宋体" w:hAnsi="宋体" w:eastAsia="宋体" w:cs="仿宋_GB2312"/>
          <w:b/>
          <w:sz w:val="24"/>
          <w:szCs w:val="24"/>
        </w:rPr>
      </w:pPr>
      <w:r>
        <w:rPr>
          <w:rFonts w:ascii="宋体" w:hAnsi="宋体" w:eastAsia="宋体" w:cs="仿宋_GB2312"/>
          <w:b/>
          <w:sz w:val="24"/>
          <w:szCs w:val="24"/>
        </w:rPr>
        <w:br w:type="page"/>
      </w:r>
    </w:p>
    <w:p w14:paraId="3F57FB21">
      <w:pPr>
        <w:widowControl w:val="0"/>
        <w:adjustRightInd/>
        <w:snapToGrid/>
        <w:spacing w:after="0" w:line="59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报价内容一览</w:t>
      </w:r>
    </w:p>
    <w:tbl>
      <w:tblPr>
        <w:tblStyle w:val="20"/>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3"/>
        <w:gridCol w:w="1576"/>
        <w:gridCol w:w="1853"/>
        <w:gridCol w:w="978"/>
      </w:tblGrid>
      <w:tr w14:paraId="0A02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jc w:val="center"/>
        </w:trPr>
        <w:tc>
          <w:tcPr>
            <w:tcW w:w="3093" w:type="dxa"/>
            <w:shd w:val="clear" w:color="FFFFFF" w:fill="auto"/>
            <w:vAlign w:val="center"/>
          </w:tcPr>
          <w:p w14:paraId="03009169">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项目名称</w:t>
            </w:r>
          </w:p>
        </w:tc>
        <w:tc>
          <w:tcPr>
            <w:tcW w:w="1576" w:type="dxa"/>
            <w:shd w:val="clear" w:color="FFFFFF" w:fill="auto"/>
            <w:vAlign w:val="center"/>
          </w:tcPr>
          <w:p w14:paraId="6F6F5D27">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招标方式</w:t>
            </w:r>
          </w:p>
        </w:tc>
        <w:tc>
          <w:tcPr>
            <w:tcW w:w="1853" w:type="dxa"/>
            <w:shd w:val="clear" w:color="FFFFFF" w:fill="auto"/>
            <w:vAlign w:val="center"/>
          </w:tcPr>
          <w:p w14:paraId="5C77E097">
            <w:pPr>
              <w:widowControl w:val="0"/>
              <w:adjustRightInd/>
              <w:snapToGrid/>
              <w:spacing w:after="0"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承包低价</w:t>
            </w:r>
          </w:p>
        </w:tc>
        <w:tc>
          <w:tcPr>
            <w:tcW w:w="978" w:type="dxa"/>
            <w:shd w:val="clear" w:color="FFFFFF" w:fill="auto"/>
            <w:vAlign w:val="center"/>
          </w:tcPr>
          <w:p w14:paraId="08E02019">
            <w:pPr>
              <w:widowControl w:val="0"/>
              <w:adjustRightInd/>
              <w:snapToGrid/>
              <w:spacing w:after="0"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要求</w:t>
            </w:r>
          </w:p>
        </w:tc>
      </w:tr>
      <w:tr w14:paraId="5066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jc w:val="center"/>
        </w:trPr>
        <w:tc>
          <w:tcPr>
            <w:tcW w:w="3093" w:type="dxa"/>
            <w:vAlign w:val="center"/>
          </w:tcPr>
          <w:p w14:paraId="2EB100F2">
            <w:pPr>
              <w:spacing w:line="340" w:lineRule="exact"/>
              <w:jc w:val="center"/>
              <w:rPr>
                <w:rFonts w:hint="eastAsia" w:ascii="宋体" w:hAnsi="宋体" w:eastAsia="宋体" w:cs="宋体"/>
                <w:color w:val="404040"/>
                <w:sz w:val="26"/>
                <w:szCs w:val="26"/>
              </w:rPr>
            </w:pPr>
            <w:r>
              <w:rPr>
                <w:rFonts w:hint="eastAsia" w:ascii="宋体" w:hAnsi="宋体" w:eastAsia="宋体" w:cs="宋体"/>
                <w:color w:val="404040"/>
                <w:sz w:val="26"/>
                <w:szCs w:val="26"/>
              </w:rPr>
              <w:t>福建省肿瘤医院太平间委托管理服务遴选项目</w:t>
            </w:r>
          </w:p>
        </w:tc>
        <w:tc>
          <w:tcPr>
            <w:tcW w:w="1576" w:type="dxa"/>
            <w:vAlign w:val="center"/>
          </w:tcPr>
          <w:p w14:paraId="379B2EC3">
            <w:pPr>
              <w:spacing w:line="340" w:lineRule="exact"/>
              <w:jc w:val="center"/>
              <w:rPr>
                <w:rFonts w:hint="eastAsia" w:ascii="宋体" w:hAnsi="宋体" w:eastAsia="宋体" w:cs="宋体"/>
                <w:i/>
                <w:iCs/>
                <w:color w:val="404040"/>
                <w:sz w:val="26"/>
                <w:szCs w:val="26"/>
              </w:rPr>
            </w:pPr>
            <w:r>
              <w:rPr>
                <w:rFonts w:hint="eastAsia" w:ascii="宋体" w:hAnsi="宋体" w:eastAsia="宋体" w:cs="宋体"/>
                <w:color w:val="404040"/>
                <w:sz w:val="26"/>
                <w:szCs w:val="26"/>
              </w:rPr>
              <w:t>综合评分</w:t>
            </w:r>
          </w:p>
        </w:tc>
        <w:tc>
          <w:tcPr>
            <w:tcW w:w="1853" w:type="dxa"/>
            <w:vAlign w:val="center"/>
          </w:tcPr>
          <w:p w14:paraId="6E657691">
            <w:p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0元/月</w:t>
            </w:r>
          </w:p>
        </w:tc>
        <w:tc>
          <w:tcPr>
            <w:tcW w:w="978" w:type="dxa"/>
            <w:vAlign w:val="center"/>
          </w:tcPr>
          <w:p w14:paraId="0A750AD1">
            <w:pPr>
              <w:spacing w:line="340" w:lineRule="exact"/>
              <w:jc w:val="center"/>
              <w:rPr>
                <w:rFonts w:hint="eastAsia" w:ascii="宋体" w:hAnsi="宋体" w:eastAsia="宋体" w:cs="宋体"/>
                <w:color w:val="404040"/>
                <w:sz w:val="26"/>
                <w:szCs w:val="26"/>
              </w:rPr>
            </w:pPr>
            <w:r>
              <w:rPr>
                <w:rFonts w:ascii="宋体" w:hAnsi="宋体" w:eastAsia="宋体" w:cs="宋体"/>
                <w:color w:val="404040"/>
                <w:sz w:val="26"/>
                <w:szCs w:val="26"/>
              </w:rPr>
              <w:t>详见附件</w:t>
            </w:r>
          </w:p>
        </w:tc>
      </w:tr>
    </w:tbl>
    <w:p w14:paraId="39FBD030">
      <w:pPr>
        <w:pStyle w:val="16"/>
        <w:rPr>
          <w:rFonts w:hint="eastAsia" w:ascii="宋体" w:hAnsi="宋体" w:eastAsia="宋体" w:cs="宋体"/>
          <w:color w:val="404040"/>
          <w:sz w:val="26"/>
          <w:szCs w:val="26"/>
        </w:rPr>
      </w:pPr>
      <w:r>
        <w:rPr>
          <w:rFonts w:ascii="宋体" w:hAnsi="宋体" w:eastAsia="宋体" w:cs="宋体"/>
          <w:color w:val="404040"/>
          <w:sz w:val="26"/>
          <w:szCs w:val="26"/>
        </w:rPr>
        <w:t>备注：</w:t>
      </w:r>
      <w:r>
        <w:rPr>
          <w:rFonts w:hint="eastAsia" w:ascii="宋体" w:hAnsi="宋体" w:eastAsia="宋体" w:cs="宋体"/>
          <w:color w:val="404040"/>
          <w:sz w:val="26"/>
          <w:szCs w:val="26"/>
        </w:rPr>
        <w:t>1、</w:t>
      </w:r>
      <w:r>
        <w:rPr>
          <w:rFonts w:ascii="宋体" w:hAnsi="宋体" w:eastAsia="宋体" w:cs="宋体"/>
          <w:color w:val="404040"/>
          <w:sz w:val="26"/>
          <w:szCs w:val="26"/>
        </w:rPr>
        <w:t>如双方对招标内容产生歧</w:t>
      </w:r>
      <w:bookmarkStart w:id="12" w:name="_GoBack"/>
      <w:bookmarkEnd w:id="12"/>
      <w:r>
        <w:rPr>
          <w:rFonts w:ascii="宋体" w:hAnsi="宋体" w:eastAsia="宋体" w:cs="宋体"/>
          <w:color w:val="404040"/>
          <w:sz w:val="26"/>
          <w:szCs w:val="26"/>
        </w:rPr>
        <w:t>义，最终解释权归采购人。</w:t>
      </w:r>
    </w:p>
    <w:p w14:paraId="4DB15EC4">
      <w:pPr>
        <w:pStyle w:val="16"/>
        <w:rPr>
          <w:rFonts w:hint="eastAsia" w:ascii="宋体" w:hAnsi="宋体" w:eastAsia="宋体" w:cs="仿宋_GB2312"/>
          <w:b/>
          <w:sz w:val="24"/>
          <w:szCs w:val="24"/>
        </w:rPr>
      </w:pPr>
    </w:p>
    <w:p w14:paraId="1E2E9253">
      <w:pPr>
        <w:adjustRightInd/>
        <w:snapToGrid/>
        <w:spacing w:after="0"/>
        <w:rPr>
          <w:rFonts w:hint="eastAsia" w:ascii="宋体" w:hAnsi="宋体" w:eastAsia="宋体" w:cs="仿宋_GB2312"/>
          <w:b/>
          <w:sz w:val="24"/>
          <w:szCs w:val="24"/>
        </w:rPr>
      </w:pPr>
    </w:p>
    <w:p w14:paraId="3912C289">
      <w:pPr>
        <w:pStyle w:val="16"/>
        <w:rPr>
          <w:rFonts w:hint="eastAsia" w:ascii="宋体" w:hAnsi="宋体" w:eastAsia="宋体" w:cs="仿宋_GB2312"/>
          <w:b/>
          <w:sz w:val="24"/>
          <w:szCs w:val="24"/>
        </w:rPr>
      </w:pPr>
    </w:p>
    <w:p w14:paraId="25FA8D31">
      <w:pPr>
        <w:pStyle w:val="16"/>
        <w:rPr>
          <w:rFonts w:hint="eastAsia" w:ascii="宋体" w:hAnsi="宋体" w:eastAsia="宋体" w:cs="仿宋_GB2312"/>
          <w:b/>
          <w:sz w:val="24"/>
          <w:szCs w:val="24"/>
        </w:rPr>
      </w:pPr>
    </w:p>
    <w:p w14:paraId="753F5F8F">
      <w:pPr>
        <w:pStyle w:val="16"/>
        <w:rPr>
          <w:rFonts w:hint="eastAsia" w:ascii="宋体" w:hAnsi="宋体" w:eastAsia="宋体" w:cs="仿宋_GB2312"/>
          <w:b/>
          <w:sz w:val="24"/>
          <w:szCs w:val="24"/>
        </w:rPr>
      </w:pPr>
    </w:p>
    <w:p w14:paraId="4D16BC46">
      <w:pPr>
        <w:pStyle w:val="16"/>
        <w:rPr>
          <w:rFonts w:hint="eastAsia" w:ascii="宋体" w:hAnsi="宋体" w:eastAsia="宋体" w:cs="仿宋_GB2312"/>
          <w:b/>
          <w:sz w:val="24"/>
          <w:szCs w:val="24"/>
        </w:rPr>
      </w:pPr>
    </w:p>
    <w:p w14:paraId="0DB5FA60">
      <w:pPr>
        <w:pStyle w:val="16"/>
        <w:rPr>
          <w:rFonts w:hint="eastAsia" w:ascii="宋体" w:hAnsi="宋体" w:eastAsia="宋体" w:cs="仿宋_GB2312"/>
          <w:b/>
          <w:sz w:val="24"/>
          <w:szCs w:val="24"/>
        </w:rPr>
      </w:pPr>
    </w:p>
    <w:p w14:paraId="65E11B34">
      <w:pPr>
        <w:pStyle w:val="16"/>
        <w:rPr>
          <w:rFonts w:hint="eastAsia" w:ascii="宋体" w:hAnsi="宋体" w:eastAsia="宋体" w:cs="仿宋_GB2312"/>
          <w:b/>
          <w:sz w:val="24"/>
          <w:szCs w:val="24"/>
        </w:rPr>
      </w:pPr>
    </w:p>
    <w:p w14:paraId="6F0729ED">
      <w:pPr>
        <w:pStyle w:val="16"/>
        <w:rPr>
          <w:rFonts w:hint="eastAsia" w:ascii="宋体" w:hAnsi="宋体" w:eastAsia="宋体" w:cs="仿宋_GB2312"/>
          <w:b/>
          <w:sz w:val="24"/>
          <w:szCs w:val="24"/>
        </w:rPr>
      </w:pPr>
    </w:p>
    <w:p w14:paraId="363D1D33">
      <w:pPr>
        <w:pStyle w:val="16"/>
        <w:rPr>
          <w:rFonts w:hint="eastAsia" w:ascii="宋体" w:hAnsi="宋体" w:eastAsia="宋体" w:cs="仿宋_GB2312"/>
          <w:b/>
          <w:sz w:val="24"/>
          <w:szCs w:val="24"/>
        </w:rPr>
      </w:pPr>
    </w:p>
    <w:p w14:paraId="0E2F1053">
      <w:pPr>
        <w:pStyle w:val="16"/>
        <w:rPr>
          <w:rFonts w:hint="eastAsia" w:ascii="宋体" w:hAnsi="宋体" w:eastAsia="宋体" w:cs="仿宋_GB2312"/>
          <w:b/>
          <w:sz w:val="24"/>
          <w:szCs w:val="24"/>
        </w:rPr>
      </w:pPr>
    </w:p>
    <w:p w14:paraId="3C6CCA68">
      <w:pPr>
        <w:pStyle w:val="16"/>
        <w:rPr>
          <w:rFonts w:hint="eastAsia" w:ascii="宋体" w:hAnsi="宋体" w:eastAsia="宋体" w:cs="仿宋_GB2312"/>
          <w:b/>
          <w:sz w:val="24"/>
          <w:szCs w:val="24"/>
        </w:rPr>
      </w:pPr>
    </w:p>
    <w:p w14:paraId="1D7E988D">
      <w:pPr>
        <w:adjustRightInd/>
        <w:snapToGrid/>
        <w:spacing w:after="0"/>
        <w:rPr>
          <w:rFonts w:hint="eastAsia" w:ascii="宋体" w:hAnsi="宋体" w:eastAsia="宋体" w:cs="仿宋_GB2312"/>
          <w:b/>
          <w:sz w:val="24"/>
          <w:szCs w:val="24"/>
        </w:rPr>
      </w:pPr>
      <w:r>
        <w:rPr>
          <w:rFonts w:hint="eastAsia" w:ascii="宋体" w:hAnsi="宋体" w:eastAsia="宋体" w:cs="仿宋_GB2312"/>
          <w:b/>
          <w:sz w:val="24"/>
          <w:szCs w:val="24"/>
        </w:rPr>
        <w:br w:type="page"/>
      </w:r>
    </w:p>
    <w:p w14:paraId="1CF71673">
      <w:pPr>
        <w:pStyle w:val="27"/>
        <w:rPr>
          <w:rFonts w:ascii="宋体" w:hAnsi="宋体" w:eastAsia="宋体" w:cs="宋体"/>
          <w:b/>
          <w:sz w:val="36"/>
          <w:szCs w:val="36"/>
        </w:rPr>
      </w:pPr>
      <w:r>
        <w:rPr>
          <w:rFonts w:ascii="宋体" w:hAnsi="宋体" w:eastAsia="宋体" w:cs="宋体"/>
          <w:b/>
          <w:sz w:val="36"/>
          <w:szCs w:val="36"/>
        </w:rPr>
        <w:t>附件：</w:t>
      </w:r>
    </w:p>
    <w:p w14:paraId="2CD0948F">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★一、商务要求</w:t>
      </w:r>
    </w:p>
    <w:p w14:paraId="28CE46E9">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（一）交付（服务）时间、地点和方式</w:t>
      </w:r>
    </w:p>
    <w:p w14:paraId="075F654A">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1.交付（服务）时间：服务期限为3年。 </w:t>
      </w:r>
    </w:p>
    <w:p w14:paraId="1DC6D967">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（二）场地管理费及水电费</w:t>
      </w:r>
    </w:p>
    <w:p w14:paraId="52707A8A">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项目属于医疗机构相关服务项目，由服务供应商自负盈亏。现场安装水电表，按实结算水电费用。服务商在每月月初（10号前）向医院缴纳场地管理费和上月水电费（按实结算），逾期缴纳场地管理费按每日1‰收取滞纳金，逾期缴纳场地管理费两个月以上，医院有权无条件解除合同。</w:t>
      </w:r>
    </w:p>
    <w:p w14:paraId="004AD3E6">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（三）履约保证金</w:t>
      </w:r>
    </w:p>
    <w:p w14:paraId="708BCEFD">
      <w:pPr>
        <w:overflowPunct w:val="0"/>
        <w:autoSpaceDN w:val="0"/>
        <w:spacing w:line="578"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履约保证金为中标金额10%，缴纳方式为银行转账。待合同满后，全额无息退还。</w:t>
      </w:r>
    </w:p>
    <w:p w14:paraId="77F79B19">
      <w:pPr>
        <w:pStyle w:val="5"/>
        <w:spacing w:before="0" w:after="0" w:line="560" w:lineRule="exact"/>
        <w:ind w:firstLine="560"/>
        <w:rPr>
          <w:rFonts w:hint="eastAsia" w:ascii="宋体" w:hAnsi="宋体" w:eastAsia="宋体" w:cs="宋体"/>
          <w:color w:val="auto"/>
          <w:sz w:val="28"/>
          <w:szCs w:val="28"/>
        </w:rPr>
      </w:pPr>
      <w:bookmarkStart w:id="2" w:name="_Toc127547643"/>
      <w:bookmarkStart w:id="3" w:name="_Toc128397374"/>
      <w:bookmarkStart w:id="4" w:name="_Toc130886521"/>
      <w:bookmarkStart w:id="5" w:name="_Toc128147495"/>
      <w:bookmarkStart w:id="6" w:name="_Toc132398711"/>
      <w:bookmarkStart w:id="7" w:name="_Toc150350765"/>
      <w:bookmarkStart w:id="8" w:name="_Toc130887375"/>
      <w:bookmarkStart w:id="9" w:name="_Toc150350881"/>
      <w:bookmarkStart w:id="10" w:name="_Toc128147352"/>
      <w:bookmarkStart w:id="11" w:name="_Toc128149622"/>
      <w:r>
        <w:rPr>
          <w:rFonts w:hint="eastAsia" w:ascii="宋体" w:hAnsi="宋体" w:eastAsia="宋体" w:cs="宋体"/>
          <w:color w:val="auto"/>
          <w:sz w:val="28"/>
          <w:szCs w:val="28"/>
        </w:rPr>
        <w:t>★二、服务要求</w:t>
      </w:r>
      <w:bookmarkEnd w:id="2"/>
      <w:bookmarkEnd w:id="3"/>
      <w:bookmarkEnd w:id="4"/>
      <w:bookmarkEnd w:id="5"/>
      <w:bookmarkEnd w:id="6"/>
      <w:bookmarkEnd w:id="7"/>
      <w:bookmarkEnd w:id="8"/>
      <w:bookmarkEnd w:id="9"/>
      <w:bookmarkEnd w:id="10"/>
      <w:bookmarkEnd w:id="11"/>
    </w:p>
    <w:p w14:paraId="14C9E17A">
      <w:pPr>
        <w:spacing w:line="44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因业务需要，供应商可视情况对太平间进行规划改造、装修，具体改造包含环境改善、殡葬礼仪服务设备（如冰柜、解剖台等）及相关物品设置并安装水、电表等，供应商自行安装院内分级电话（装机及后续通话等所产生费用由供应商承担）。以上所述都必须符合政府的相关规章制度，并经过采购人的批准方可实施，在装修规划过程中，采购人将派出相关人员进行全程监督。</w:t>
      </w:r>
    </w:p>
    <w:p w14:paraId="1E00E51C">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kern w:val="2"/>
          <w:sz w:val="28"/>
          <w:szCs w:val="28"/>
        </w:rPr>
        <w:t>供应商应按照实际水电支出每半年向采购人缴纳水电费。收费标准为电费：</w:t>
      </w:r>
      <w:r>
        <w:rPr>
          <w:rFonts w:hint="eastAsia" w:ascii="宋体" w:hAnsi="宋体" w:eastAsia="宋体" w:cs="宋体"/>
          <w:sz w:val="28"/>
          <w:szCs w:val="28"/>
        </w:rPr>
        <w:t>人民币</w:t>
      </w:r>
      <w:r>
        <w:rPr>
          <w:rFonts w:hint="eastAsia" w:ascii="宋体" w:hAnsi="宋体" w:eastAsia="宋体" w:cs="宋体"/>
          <w:kern w:val="2"/>
          <w:sz w:val="28"/>
          <w:szCs w:val="28"/>
        </w:rPr>
        <w:t>1元/度</w:t>
      </w:r>
      <w:r>
        <w:rPr>
          <w:rFonts w:hint="eastAsia" w:ascii="宋体" w:hAnsi="宋体" w:eastAsia="宋体" w:cs="宋体"/>
          <w:sz w:val="28"/>
          <w:szCs w:val="28"/>
        </w:rPr>
        <w:t>，水费：人民币4元/吨。</w:t>
      </w:r>
    </w:p>
    <w:p w14:paraId="63FB9A87">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在装修太平间期间，必须保证医院内现有遗体的妥善存放。</w:t>
      </w:r>
    </w:p>
    <w:p w14:paraId="303B8020">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供应商接获采购人通知有亡故病患时，应于30 分钟内携带领据到指定病房处理，并接受采购人指导，将亡故之遗体，移送太平间存放。</w:t>
      </w:r>
    </w:p>
    <w:p w14:paraId="5216B9DA">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护送亡故病患时，须指派专人于前方引导开路，并依照采购人规定线路护送遗体，不得擅自更改路线。</w:t>
      </w:r>
    </w:p>
    <w:p w14:paraId="00CDE83B">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每位亡故病患遗体之移入、移出，采购人除应设领据详实登记（领据内容应包括移入、移出时间、病患姓名、性别、病历号码及处理结果）外，并对移进太平间停放之尸体加以悬挂标记（戴上识别手环），以利核对身份。</w:t>
      </w:r>
    </w:p>
    <w:p w14:paraId="1D396231">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接送遗体至太平间时，应负责签收保管，领出时的服务人员应审核逝者家属身份，及持有死亡证明书，经确认签章后即能将遗体领回运出。</w:t>
      </w:r>
    </w:p>
    <w:p w14:paraId="5B01820A">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采购人将亡故病患遗体交付后，供应商应善尽运送、停放、保管遗体之责，不得扰及家属及采购人工作人员，并接受采购人监督及考核，若因工作疏忽，而导致发生遗体遗失、误认、毁损、腐坏等情事，由供应商负完全责任，并应主动与家属协商并化解纠纷，如因此导致采购人产生损失，采购人有权向乙方追偿。</w:t>
      </w:r>
    </w:p>
    <w:p w14:paraId="21951AA7">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受委托处理殡仪服务时，应尊重丧家意见，并按所定收费标准收费，所开展的各项服务（如洗身、洗血、整容、停尸、化妆、穿衣、冷冻等）需符合市殡葬处的管理规章，所开展项目收费标准必须严格按照市物价部门及殡葬处相关规定收费明码标价并提交采购人备案。所有收费项目需向死者家属开据正式票据，如发现乱收费，与死者家属发生纠纷等责任由供应商负责，采购人概不承担责任，如因此导致采购人产生损失，采购人有权向乙方追偿。另外，采购人经调查发现上述情况属实的，有权按乱收费的10 倍向供应商收取违约金或单方解除协议。其收费标准详见福州市殡仪馆基本收费标准。</w:t>
      </w:r>
    </w:p>
    <w:p w14:paraId="52DB0229">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供应商接受往生者家属委托火化处理尸体，应将遗体送至合法的公立火葬场处理，火化后需取得火葬场开出的火葬证明单。</w:t>
      </w:r>
    </w:p>
    <w:p w14:paraId="6584D6F1">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加强工作人员对尸体权的保护，不能有任何污染尸体等违法行为。太平间尸体停放（包括无名）防腐、卫生、消毒一律由供应商负责处理，采购人概不负责，无人认领尸体处理手续火化费等由供应商负责。遇医疗纠纷需送院外尸检的尸体，由医院直接通知供应商的工作人员，在规定时间内完成抬送任务。</w:t>
      </w:r>
    </w:p>
    <w:p w14:paraId="772DE00E">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供应商应负责太平间的门禁管制及安全，防止闲杂人员出入或逗留太平间，工作人员亦不得在内从事饮食、赌博、酗酒等事情，派驻之人员须遵守采购人管理规则及纪律，不得有损医院声誉。</w:t>
      </w:r>
    </w:p>
    <w:p w14:paraId="0741F77F">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供应商应负责医院太平间，及使用区域周边之环境清洁、卫生及美化，定期消毒，并接受采购人不定期督导检查。</w:t>
      </w:r>
    </w:p>
    <w:p w14:paraId="2EED442D">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供应商应安排所属工作人员接受生命礼仪相关训练，加强在职教育，并需纳入采购人所指定之防疫、病人安全、卫生教育、环保、消防、紧急灾难应变等训练课程，每季不得少于4小时。</w:t>
      </w:r>
    </w:p>
    <w:p w14:paraId="1C6D50E2">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如遇灾难、疫灾或国家防疫危机等有疫情扩散之事件，供应商需配合医院防疫管理，并依国家卫生机构或主管机关所颁布之遗体护送与处理流程，依实、依法办理;另依实际需要调用发电机、冰柜、尸袋、与人员等，协同采购人共同对应急状况。有疫情时应防疫需要，由采购人提供隔离防护措施设备（如∶ 口罩、手套、隔离衣）予供应商人员使用（平时不提供）。</w:t>
      </w:r>
    </w:p>
    <w:p w14:paraId="1D6435AE">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供应商除遵守政府相关法令外，为应对因紧急事故、急难事件、重大意外或国家危难发生，应制定应变计划，协助医院共同应变。</w:t>
      </w:r>
    </w:p>
    <w:p w14:paraId="7AAA7C53">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入场前与采购人一同确认服务场地及设备设施的完好情况。供应商在服务期间必须保证所服务区域场地及设备设施的完好，如出现故障或问题时，供应商需第一时间告知采购人，得到采购人同意后进行修复，供应商承担上述情况所有相关费用。供应商退场前需与采购人一同确定场地及设备设施的完好，确认无问题后，采购人按规定退还履约保证金。</w:t>
      </w:r>
    </w:p>
    <w:p w14:paraId="50C65F0E">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使用太平间应遵守有关法律、法规、规章、规定和采购人制度，不得涉黑涉恶、不得违法使用，亦不得存放危险物品致影响公共安全，否则采购人将先扣罚供应商履约保证金后再提交相关部门处理。协议期内因太平间业务所产生的任何法律后果及人身（包括供应商工作人员）和财产损失由供应商负责。</w:t>
      </w:r>
    </w:p>
    <w:p w14:paraId="48D92616">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供应商在营运期间装修添附的设施、设备应妥善维护并于合同期满后无偿移交给采购人，但不包括供应商放的可移动式设备（冰柜、空调系统、办公家具等）。</w:t>
      </w:r>
    </w:p>
    <w:p w14:paraId="3B20CDD7">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供应商在合同期内有任何违法行为发生，经确认属实，采购人有权单方面解除协议书，解除之日即是合同终止日，合同终止相关装修设施、设备的处理同合同到期处理，并承担相应的法律责任。</w:t>
      </w:r>
    </w:p>
    <w:p w14:paraId="023BC644">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供应商负责办理在医院身故患者（需经采购人通报后）尸体送至太平间，移送作业由供应商免费服务。供应商应负责无偿收取病理科废弃标本以及手术室截肢手术的残肢，并送往殡仪馆火化。</w:t>
      </w:r>
    </w:p>
    <w:p w14:paraId="7BEDD4FF">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 xml:space="preserve">供应商负责办理在医院的身故患者遗体（含死婴、死胎）之运送、停放、冷藏、冷冻、看管及协助家属办理治丧相关事宜。同时承担采购人因法律、医疗以及其他问题产生的遗体停放及处理等相关事宜。 </w:t>
      </w:r>
    </w:p>
    <w:p w14:paraId="5859C2C9">
      <w:pPr>
        <w:pStyle w:val="18"/>
        <w:numPr>
          <w:ilvl w:val="0"/>
          <w:numId w:val="3"/>
        </w:numPr>
        <w:spacing w:before="75" w:beforeAutospacing="0" w:after="75" w:afterAutospacing="0" w:line="44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供应商不得利用太平间承接非医院的身故患者遗体等相关业务（公安机关及上级委托、交办并经医院审批的除外），非本院尸体，禁止进入本院太平间（公安机关及上级委托交办并经医院审批的除外）。</w:t>
      </w:r>
    </w:p>
    <w:p w14:paraId="0D30E80D">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bCs/>
          <w:color w:val="000000"/>
          <w:sz w:val="28"/>
          <w:szCs w:val="28"/>
        </w:rPr>
        <w:t>供应商应全力配合完成采购人交办的与太平间相关事务。供应商不得干涉医院任何医疗行为。</w:t>
      </w:r>
    </w:p>
    <w:p w14:paraId="64BFE490">
      <w:pPr>
        <w:pStyle w:val="18"/>
        <w:numPr>
          <w:ilvl w:val="0"/>
          <w:numId w:val="3"/>
        </w:numPr>
        <w:spacing w:before="75" w:beforeAutospacing="0" w:after="75" w:afterAutospacing="0" w:line="440" w:lineRule="exact"/>
        <w:rPr>
          <w:rFonts w:hint="eastAsia" w:ascii="宋体" w:hAnsi="宋体" w:eastAsia="宋体" w:cs="宋体"/>
          <w:sz w:val="28"/>
          <w:szCs w:val="28"/>
        </w:rPr>
      </w:pPr>
      <w:r>
        <w:rPr>
          <w:rFonts w:hint="eastAsia" w:ascii="宋体" w:hAnsi="宋体" w:eastAsia="宋体" w:cs="宋体"/>
          <w:sz w:val="28"/>
          <w:szCs w:val="28"/>
        </w:rPr>
        <w:t>本项目必须要24小时人员在岗值守（1人院内值班，1人备勤，共计2人）。接到任务后，一人15分钟内到场，另一人30分钟内赶到现场。甲方有权利随时随地对中标方人员值守情况进行查岗。发现一次，不按照标准配置的情形，采购方有权扣款500-3000元人民币。</w:t>
      </w:r>
    </w:p>
    <w:p w14:paraId="042DA34C">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中标方需严格执行民政部门及物价部门的收费标准，如出现违反民政部门及物价部门收费标准所造成的一切损失均由中标方负责。</w:t>
      </w:r>
    </w:p>
    <w:p w14:paraId="5D20C4B5">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中标方必须按照医院医疗管理及殡仪馆的相关规定开展工作。</w:t>
      </w:r>
    </w:p>
    <w:p w14:paraId="3B80D2C1">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中标方必须严格按照卫生主管部门传染疾病操作流程开展工作。</w:t>
      </w:r>
    </w:p>
    <w:p w14:paraId="4DD542F3">
      <w:pPr>
        <w:pStyle w:val="25"/>
        <w:numPr>
          <w:ilvl w:val="0"/>
          <w:numId w:val="3"/>
        </w:numPr>
        <w:adjustRightInd/>
        <w:snapToGrid/>
        <w:spacing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医院遇到重大事故抢救任务时，中标方须严格按照公安部门对重大事故处理的相关规定执行。</w:t>
      </w:r>
    </w:p>
    <w:p w14:paraId="609ECD64">
      <w:pPr>
        <w:pStyle w:val="25"/>
        <w:numPr>
          <w:ilvl w:val="0"/>
          <w:numId w:val="3"/>
        </w:numPr>
        <w:adjustRightInd/>
        <w:snapToGrid/>
        <w:spacing w:before="150" w:after="0" w:line="480" w:lineRule="atLeast"/>
        <w:jc w:val="both"/>
        <w:rPr>
          <w:rFonts w:hint="eastAsia" w:ascii="宋体" w:hAnsi="宋体" w:eastAsia="宋体" w:cs="宋体"/>
          <w:kern w:val="2"/>
          <w:sz w:val="28"/>
          <w:szCs w:val="28"/>
        </w:rPr>
      </w:pPr>
      <w:r>
        <w:rPr>
          <w:rFonts w:hint="eastAsia" w:ascii="宋体" w:hAnsi="宋体" w:eastAsia="宋体" w:cs="宋体"/>
          <w:kern w:val="2"/>
          <w:sz w:val="28"/>
          <w:szCs w:val="28"/>
        </w:rPr>
        <w:t>中标方必须对医疗纠纷涉及的尸体需进行无偿的保管，并协助院方办理相关的处理手续。</w:t>
      </w:r>
    </w:p>
    <w:p w14:paraId="27E2D83E">
      <w:pPr>
        <w:pStyle w:val="27"/>
        <w:rPr>
          <w:rFonts w:ascii="宋体" w:hAnsi="宋体" w:eastAsia="宋体" w:cs="宋体"/>
          <w:b/>
          <w:sz w:val="36"/>
          <w:szCs w:val="36"/>
        </w:rPr>
      </w:pPr>
      <w:r>
        <w:rPr>
          <w:rFonts w:ascii="宋体" w:hAnsi="宋体" w:eastAsia="宋体" w:cs="宋体"/>
          <w:b/>
          <w:sz w:val="36"/>
          <w:szCs w:val="36"/>
        </w:rPr>
        <w:t>三、评分办法</w:t>
      </w:r>
    </w:p>
    <w:p w14:paraId="6E1B4794">
      <w:pPr>
        <w:pStyle w:val="18"/>
        <w:spacing w:line="44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①技术部分评分（F1）为满分70分</w:t>
      </w:r>
    </w:p>
    <w:p w14:paraId="7FBEDAD8">
      <w:pPr>
        <w:pStyle w:val="18"/>
        <w:spacing w:line="44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注：供应商技术部分最终得分低于技术部分总分50%的供应商，视为未实质性响应磋商文件要求，视为无效投标。</w:t>
      </w:r>
    </w:p>
    <w:tbl>
      <w:tblPr>
        <w:tblStyle w:val="20"/>
        <w:tblW w:w="9197" w:type="dxa"/>
        <w:jc w:val="center"/>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fixed"/>
        <w:tblCellMar>
          <w:top w:w="0" w:type="dxa"/>
          <w:left w:w="0" w:type="dxa"/>
          <w:bottom w:w="0" w:type="dxa"/>
          <w:right w:w="0" w:type="dxa"/>
        </w:tblCellMar>
      </w:tblPr>
      <w:tblGrid>
        <w:gridCol w:w="1137"/>
        <w:gridCol w:w="642"/>
        <w:gridCol w:w="7418"/>
      </w:tblGrid>
      <w:tr w14:paraId="1CD4AA36">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904" w:hRule="atLeast"/>
          <w:tblHeader/>
          <w:jc w:val="center"/>
        </w:trPr>
        <w:tc>
          <w:tcPr>
            <w:tcW w:w="1137" w:type="dxa"/>
            <w:shd w:val="clear" w:color="auto" w:fill="FFFFFF"/>
            <w:vAlign w:val="center"/>
          </w:tcPr>
          <w:p w14:paraId="33DFDD9F">
            <w:pPr>
              <w:spacing w:line="440" w:lineRule="atLeast"/>
              <w:jc w:val="center"/>
              <w:rPr>
                <w:rFonts w:hint="eastAsia" w:ascii="宋体" w:hAnsi="宋体" w:cs="宋体"/>
                <w:b/>
                <w:bCs/>
                <w:sz w:val="24"/>
              </w:rPr>
            </w:pPr>
            <w:r>
              <w:rPr>
                <w:rFonts w:hint="eastAsia" w:ascii="宋体" w:hAnsi="宋体" w:eastAsia="宋体" w:cs="宋体"/>
                <w:kern w:val="2"/>
                <w:sz w:val="28"/>
                <w:szCs w:val="28"/>
                <w:lang w:val="en-US" w:eastAsia="zh-CN" w:bidi="ar-SA"/>
              </w:rPr>
              <w:t>评审项目</w:t>
            </w:r>
          </w:p>
        </w:tc>
        <w:tc>
          <w:tcPr>
            <w:tcW w:w="642" w:type="dxa"/>
            <w:shd w:val="clear" w:color="auto" w:fill="FFFFFF"/>
            <w:vAlign w:val="center"/>
          </w:tcPr>
          <w:p w14:paraId="2DED9BC0">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评审分值</w:t>
            </w:r>
          </w:p>
        </w:tc>
        <w:tc>
          <w:tcPr>
            <w:tcW w:w="7418" w:type="dxa"/>
            <w:shd w:val="clear" w:color="auto" w:fill="FFFFFF"/>
            <w:vAlign w:val="center"/>
          </w:tcPr>
          <w:p w14:paraId="64DE578D">
            <w:pPr>
              <w:spacing w:line="440" w:lineRule="atLeast"/>
              <w:jc w:val="center"/>
              <w:rPr>
                <w:rFonts w:hint="eastAsia" w:ascii="宋体" w:hAnsi="宋体" w:cs="宋体"/>
                <w:b/>
                <w:bCs/>
                <w:sz w:val="24"/>
              </w:rPr>
            </w:pPr>
            <w:r>
              <w:rPr>
                <w:rFonts w:hint="eastAsia" w:ascii="宋体" w:hAnsi="宋体" w:eastAsia="宋体" w:cs="宋体"/>
                <w:kern w:val="2"/>
                <w:sz w:val="28"/>
                <w:szCs w:val="28"/>
                <w:lang w:val="en-US" w:eastAsia="zh-CN" w:bidi="ar-SA"/>
              </w:rPr>
              <w:t>评审方法描述</w:t>
            </w:r>
          </w:p>
        </w:tc>
      </w:tr>
      <w:tr w14:paraId="4B3264E8">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3351000C">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1.现状分析及难点解决方案</w:t>
            </w:r>
          </w:p>
        </w:tc>
        <w:tc>
          <w:tcPr>
            <w:tcW w:w="642" w:type="dxa"/>
            <w:shd w:val="clear" w:color="auto" w:fill="FFFFFF"/>
            <w:vAlign w:val="center"/>
          </w:tcPr>
          <w:p w14:paraId="7EECE70E">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6566D698">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对现场设备的了解程度提供现状分析及难点解决方案，由评委进行综合评议：对现场设备勘查了解全面、完整、详细的的得5分，对现场设备勘查了解较全面、较完整、较详细的的得4.9分，对现场设备勘查的了解不够全面、不够完整、不够详细的得4.9分。未提供方案的不得分。</w:t>
            </w:r>
          </w:p>
        </w:tc>
      </w:tr>
      <w:tr w14:paraId="259D5635">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167" w:hRule="atLeast"/>
          <w:tblHeader/>
          <w:jc w:val="center"/>
        </w:trPr>
        <w:tc>
          <w:tcPr>
            <w:tcW w:w="1137" w:type="dxa"/>
            <w:shd w:val="clear" w:color="auto" w:fill="FFFFFF"/>
            <w:vAlign w:val="center"/>
          </w:tcPr>
          <w:p w14:paraId="102BE2C1">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2.安全保障措施</w:t>
            </w:r>
          </w:p>
        </w:tc>
        <w:tc>
          <w:tcPr>
            <w:tcW w:w="642" w:type="dxa"/>
            <w:shd w:val="clear" w:color="auto" w:fill="FFFFFF"/>
            <w:vAlign w:val="center"/>
          </w:tcPr>
          <w:p w14:paraId="3A9CC514">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4757410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根据各供应商为本项目提供的实施方案进行评议，方案完整、标准严谨的得5分；方案较完整的得4.9分；其余得4.8分，未提供不得分。</w:t>
            </w:r>
          </w:p>
        </w:tc>
      </w:tr>
      <w:tr w14:paraId="74D040A9">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518D4C6E">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3.工作计划</w:t>
            </w:r>
          </w:p>
        </w:tc>
        <w:tc>
          <w:tcPr>
            <w:tcW w:w="642" w:type="dxa"/>
            <w:shd w:val="clear" w:color="auto" w:fill="FFFFFF"/>
            <w:vAlign w:val="center"/>
          </w:tcPr>
          <w:p w14:paraId="48511118">
            <w:pPr>
              <w:spacing w:line="440" w:lineRule="atLeast"/>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6F1CD44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根据供应商针对本项目制定的工作计划进行评分：详细完整、可操作性强、有针对性的得5分；基本完整、可操作性一般的得4.9分；简单不完整、且可操作性较差的得4.8分；未提供的不得分。</w:t>
            </w:r>
          </w:p>
        </w:tc>
      </w:tr>
      <w:tr w14:paraId="4B5F7495">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580C0EC2">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4.客户档案管理</w:t>
            </w:r>
          </w:p>
        </w:tc>
        <w:tc>
          <w:tcPr>
            <w:tcW w:w="642" w:type="dxa"/>
            <w:shd w:val="clear" w:color="auto" w:fill="FFFFFF"/>
            <w:vAlign w:val="center"/>
          </w:tcPr>
          <w:p w14:paraId="576356C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8EECE3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根据供应商针对本项目提供客户档案管理方案进行评分：详细完整、可操作性强、有针对性的得5分；基本完整、可操作性一般的得4.9分；简单不完整、且可操作性较差的得4.8分；未提供的不得分。</w:t>
            </w:r>
          </w:p>
        </w:tc>
      </w:tr>
      <w:tr w14:paraId="661F49C8">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3C24CA3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5.对感染遗体处理方案</w:t>
            </w:r>
          </w:p>
        </w:tc>
        <w:tc>
          <w:tcPr>
            <w:tcW w:w="642" w:type="dxa"/>
            <w:shd w:val="clear" w:color="auto" w:fill="FFFFFF"/>
            <w:vAlign w:val="center"/>
          </w:tcPr>
          <w:p w14:paraId="2724019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8255E9C">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根据供应商针对本项目提供对感染遗体处理方案进行评分：详细完整、可操作性强、有针对性的得5分； 提供的方案不够周全详细、具体、完善、可行程度一般的得4.9分； 提供的方案不周全详细、具体、可行程度较差得4.8分、；未提供的不得分。</w:t>
            </w:r>
          </w:p>
        </w:tc>
      </w:tr>
      <w:tr w14:paraId="36BFCC6E">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6A806DD9">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6.非正常死亡服务流程方案</w:t>
            </w:r>
          </w:p>
        </w:tc>
        <w:tc>
          <w:tcPr>
            <w:tcW w:w="642" w:type="dxa"/>
            <w:shd w:val="clear" w:color="auto" w:fill="FFFFFF"/>
            <w:vAlign w:val="center"/>
          </w:tcPr>
          <w:p w14:paraId="60AC6E5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0875282B">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根据供应商针对本项目提供非正常死亡服务流程方案进行评分：详细完整、可操作性强、有针对性的得5分； 提供的方案不够周全详细、具体、完善、可行程度一般的得4.9分； 提供的方案不周全详细、具体、可行程度较差得4.8分、；未提供的不得分。</w:t>
            </w:r>
          </w:p>
        </w:tc>
      </w:tr>
      <w:tr w14:paraId="238B0EE0">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2ABBA9A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7.应急服务方案</w:t>
            </w:r>
          </w:p>
        </w:tc>
        <w:tc>
          <w:tcPr>
            <w:tcW w:w="642" w:type="dxa"/>
            <w:shd w:val="clear" w:color="auto" w:fill="FFFFFF"/>
            <w:vAlign w:val="center"/>
          </w:tcPr>
          <w:p w14:paraId="31EB3239">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2E3D50A7">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提供的应急服务方案由评委进行评分：①方案完整、详实、阐述清晰、重点突出、科学合理、可操作性强，满足项目需求的得5分；②方案虽有少量缺漏，但总体内容合理、具有可操性的得4.9分；④方案缺漏较多，但提供的方案内容总体合理的得4.8分；⑤未提供方案或方案不合理的本项不得分。</w:t>
            </w:r>
          </w:p>
        </w:tc>
      </w:tr>
      <w:tr w14:paraId="7F832E0C">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7D197D1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8.拟定管理目标与承诺</w:t>
            </w:r>
          </w:p>
        </w:tc>
        <w:tc>
          <w:tcPr>
            <w:tcW w:w="642" w:type="dxa"/>
            <w:shd w:val="clear" w:color="auto" w:fill="FFFFFF"/>
            <w:vAlign w:val="center"/>
          </w:tcPr>
          <w:p w14:paraId="4DCBC6C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07F0BCC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拟定管理目标与承诺方案，由评委进行评分：方案规范完整，针对性、合理性、可行性强的得5分；方案较为规范完整，针对性、合理性、可行性较强的得4.9分；方案基本完整，针对性、合理性、可行性一般的得4.8分；内容提供不符合本项目要求或提供不全或未提供的本项不得分。</w:t>
            </w:r>
          </w:p>
        </w:tc>
      </w:tr>
      <w:tr w14:paraId="0F539CEA">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597AADD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9.公共秩序维护方案</w:t>
            </w:r>
          </w:p>
        </w:tc>
        <w:tc>
          <w:tcPr>
            <w:tcW w:w="642" w:type="dxa"/>
            <w:shd w:val="clear" w:color="auto" w:fill="FFFFFF"/>
            <w:vAlign w:val="center"/>
          </w:tcPr>
          <w:p w14:paraId="1915DE96">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B28AE3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对项目实施区域内秩序维护计划等方案，由评委进行评分：方案规范完整，针对性、合理性、可行性强的得5分；方案较为规范完整，针对性、合理性、可行性较强的得4.9分；方案基本完整，针对性、合理性、可行性一般的得4.8分；内容提供不符合本项目要求或提供不全或未提供的本项不得分。(满分5分)</w:t>
            </w:r>
          </w:p>
        </w:tc>
      </w:tr>
      <w:tr w14:paraId="2D3C873C">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61DC2FCB">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10.管理制度</w:t>
            </w:r>
          </w:p>
        </w:tc>
        <w:tc>
          <w:tcPr>
            <w:tcW w:w="642" w:type="dxa"/>
            <w:shd w:val="clear" w:color="auto" w:fill="FFFFFF"/>
            <w:vAlign w:val="center"/>
          </w:tcPr>
          <w:p w14:paraId="47914B1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2DB2F21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制定的管理制度，由评委进行评分：内容完整具体合理，且可行性高的得5分；内容基本完整较合理，且可行性一般的得4.9分；内容基本完整合理性一般，且可行性低的得4.8分；内容提供不符合本项目要求或提供不全或未提供的本项不得分。(满分5分)。</w:t>
            </w:r>
          </w:p>
        </w:tc>
      </w:tr>
      <w:tr w14:paraId="0AC4F07F">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758CE6C2">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11.相关业务作业流程</w:t>
            </w:r>
          </w:p>
        </w:tc>
        <w:tc>
          <w:tcPr>
            <w:tcW w:w="642" w:type="dxa"/>
            <w:shd w:val="clear" w:color="auto" w:fill="FFFFFF"/>
            <w:vAlign w:val="center"/>
          </w:tcPr>
          <w:p w14:paraId="2D53BD6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1B76DB0F">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针对本项目制定的相关业务作业流程说明，由评委进行评分：①方案完善，可实施性高，合理性、可行性强的得5分；②方案较完善，实施性较高，具有一定的合理性、可行性的得4.9分；③方案制定一般、合理化、可行性一般的得4.8分；④未提供的本项不得分。</w:t>
            </w:r>
          </w:p>
        </w:tc>
      </w:tr>
      <w:tr w14:paraId="3BED4108">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61830F0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12.临终关怀及悲伤辅导服务</w:t>
            </w:r>
          </w:p>
        </w:tc>
        <w:tc>
          <w:tcPr>
            <w:tcW w:w="642" w:type="dxa"/>
            <w:shd w:val="clear" w:color="auto" w:fill="FFFFFF"/>
            <w:vAlign w:val="center"/>
          </w:tcPr>
          <w:p w14:paraId="5523640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72A8D66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供应商如何提供临终关怀及悲伤辅导服务方面情况，由评委进行评分：①方案完善，可实施性高，合理性、可行性强的得5分；②方案较完善，实施性较高，具有一定的合理性、可行性的得4.9分；③方案制定一般、合理化、可行性一般的得4.8分；④未提供的本项不得分。</w:t>
            </w:r>
          </w:p>
        </w:tc>
      </w:tr>
      <w:tr w14:paraId="35FB26B7">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4886FCCC">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13.优质服务</w:t>
            </w:r>
          </w:p>
        </w:tc>
        <w:tc>
          <w:tcPr>
            <w:tcW w:w="642" w:type="dxa"/>
            <w:shd w:val="clear" w:color="auto" w:fill="FFFFFF"/>
            <w:vAlign w:val="center"/>
          </w:tcPr>
          <w:p w14:paraId="693E641C">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3F9A22F7">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在如何优质服务制定方案，由评委进行评分：①方案完善，可实施性高，合理性、可行性强的得5分；②方案较完善，实施性较高，具有一定的合理性、可行性的得4.9分；③方案制定一般、合理化、可行性一般的得4.8分；④未提供的本项不得分。</w:t>
            </w:r>
          </w:p>
        </w:tc>
      </w:tr>
      <w:tr w14:paraId="17949B42">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1428" w:hRule="atLeast"/>
          <w:tblHeader/>
          <w:jc w:val="center"/>
        </w:trPr>
        <w:tc>
          <w:tcPr>
            <w:tcW w:w="1137" w:type="dxa"/>
            <w:shd w:val="clear" w:color="auto" w:fill="FFFFFF"/>
            <w:vAlign w:val="center"/>
          </w:tcPr>
          <w:p w14:paraId="20CFC723">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14.医院合作伙伴关系</w:t>
            </w:r>
          </w:p>
        </w:tc>
        <w:tc>
          <w:tcPr>
            <w:tcW w:w="642" w:type="dxa"/>
            <w:shd w:val="clear" w:color="auto" w:fill="FFFFFF"/>
            <w:vAlign w:val="center"/>
          </w:tcPr>
          <w:p w14:paraId="7BC81E0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418" w:type="dxa"/>
            <w:shd w:val="clear" w:color="auto" w:fill="FFFFFF"/>
            <w:vAlign w:val="center"/>
          </w:tcPr>
          <w:p w14:paraId="5CD1786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如何扮演医院合作伙伴关系上的详细说明，由评委进行评分：①方案完善，可实施性高，合理性、可行性强的得5分；②方案较完善，实施性较高，具有一定的合理性、可行性的得4.9分；③方案制定一般、合理化、可行性一般的得4.8分；④未提供的本项不得分。</w:t>
            </w:r>
          </w:p>
        </w:tc>
      </w:tr>
    </w:tbl>
    <w:p w14:paraId="0B9ECC3F">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②商务部分评分（F2）为满分20分</w:t>
      </w:r>
    </w:p>
    <w:tbl>
      <w:tblPr>
        <w:tblStyle w:val="2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
        <w:gridCol w:w="764"/>
        <w:gridCol w:w="7731"/>
      </w:tblGrid>
      <w:tr w14:paraId="3B79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935" w:type="dxa"/>
            <w:vAlign w:val="center"/>
          </w:tcPr>
          <w:p w14:paraId="344FDAF4">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w:t>
            </w:r>
          </w:p>
          <w:p w14:paraId="7339B4FF">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w:t>
            </w:r>
          </w:p>
        </w:tc>
        <w:tc>
          <w:tcPr>
            <w:tcW w:w="764" w:type="dxa"/>
            <w:vAlign w:val="center"/>
          </w:tcPr>
          <w:p w14:paraId="66C8871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w:t>
            </w:r>
          </w:p>
          <w:p w14:paraId="799FC5C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分值</w:t>
            </w:r>
          </w:p>
        </w:tc>
        <w:tc>
          <w:tcPr>
            <w:tcW w:w="7731" w:type="dxa"/>
            <w:vAlign w:val="center"/>
          </w:tcPr>
          <w:p w14:paraId="35712320">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评标方法描述</w:t>
            </w:r>
          </w:p>
        </w:tc>
      </w:tr>
      <w:tr w14:paraId="1F4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Merge w:val="restart"/>
            <w:vAlign w:val="center"/>
          </w:tcPr>
          <w:p w14:paraId="6140A453">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1.团队实力</w:t>
            </w:r>
          </w:p>
        </w:tc>
        <w:tc>
          <w:tcPr>
            <w:tcW w:w="764" w:type="dxa"/>
            <w:vAlign w:val="center"/>
          </w:tcPr>
          <w:p w14:paraId="50C50C0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p>
        </w:tc>
        <w:tc>
          <w:tcPr>
            <w:tcW w:w="7731" w:type="dxa"/>
            <w:vAlign w:val="center"/>
          </w:tcPr>
          <w:p w14:paraId="7C972067">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供应商承诺中标后拟投入本项目的经理具有大专以上文凭，且持有人力资源和社会保障局颁发的殡葬技能证书的得3分；需提供项目经理投标前6个月任意1个月的社保缴交记录，所有材料缺一不可，否则不得分。</w:t>
            </w:r>
          </w:p>
        </w:tc>
      </w:tr>
      <w:tr w14:paraId="68EB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Merge w:val="continue"/>
            <w:vAlign w:val="center"/>
          </w:tcPr>
          <w:p w14:paraId="01D81E0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p>
        </w:tc>
        <w:tc>
          <w:tcPr>
            <w:tcW w:w="764" w:type="dxa"/>
            <w:vAlign w:val="center"/>
          </w:tcPr>
          <w:p w14:paraId="59CB696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p>
        </w:tc>
        <w:tc>
          <w:tcPr>
            <w:tcW w:w="7731" w:type="dxa"/>
            <w:vAlign w:val="center"/>
          </w:tcPr>
          <w:p w14:paraId="4CCC8865">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拟投入项目现场的工作人员至少有2人具有高中（含中专）及以上学历，且持有人力资源和社会保障局颁发的殡葬技能证书。需提供项目经理投标前6个月任意1个月的社保缴交记录，所有材料缺一不可，否则不得分。</w:t>
            </w:r>
          </w:p>
        </w:tc>
      </w:tr>
      <w:tr w14:paraId="0303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center"/>
          </w:tcPr>
          <w:p w14:paraId="3776EB1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2.意外保险情况</w:t>
            </w:r>
          </w:p>
        </w:tc>
        <w:tc>
          <w:tcPr>
            <w:tcW w:w="764" w:type="dxa"/>
            <w:vAlign w:val="center"/>
          </w:tcPr>
          <w:p w14:paraId="0E152752">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w:t>
            </w:r>
          </w:p>
        </w:tc>
        <w:tc>
          <w:tcPr>
            <w:tcW w:w="7731" w:type="dxa"/>
            <w:vAlign w:val="center"/>
          </w:tcPr>
          <w:p w14:paraId="5D779616">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承诺中标后为所有投入本项目的员工购买人身意外保险情况（包括个人意外伤害商业保险或雇主责任险）进行评议，员工死亡伤残赔付限额≥30万元的，得2分；员工死亡伤残赔付限额介于30万元（不含）至10万元（不含）的得1分；未提供的不得分。供应商需提供承诺函，格式自拟。</w:t>
            </w:r>
          </w:p>
        </w:tc>
      </w:tr>
      <w:tr w14:paraId="2805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top"/>
          </w:tcPr>
          <w:p w14:paraId="4B3C5203">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3.文明荣誉</w:t>
            </w:r>
          </w:p>
        </w:tc>
        <w:tc>
          <w:tcPr>
            <w:tcW w:w="764" w:type="dxa"/>
            <w:vAlign w:val="top"/>
          </w:tcPr>
          <w:p w14:paraId="19921779">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731" w:type="dxa"/>
            <w:vAlign w:val="top"/>
          </w:tcPr>
          <w:p w14:paraId="6B8EFF4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投标人团队中至少一人获得县级“劳动模范”称号的，得1分，获得省、市级“劳动模范”称号的，得5分。每一项的证明材料必须完整方可得分，否则不得分。完整的证明材料包括： ①证书复印件，原件备查；②投标前6个月任意1个月的社保缴交记录。所有材料缺一不可，否则不得分。</w:t>
            </w:r>
          </w:p>
        </w:tc>
      </w:tr>
      <w:tr w14:paraId="5ECF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top"/>
          </w:tcPr>
          <w:p w14:paraId="6797E3A1">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4..业绩</w:t>
            </w:r>
          </w:p>
        </w:tc>
        <w:tc>
          <w:tcPr>
            <w:tcW w:w="764" w:type="dxa"/>
            <w:vAlign w:val="top"/>
          </w:tcPr>
          <w:p w14:paraId="4EF3611B">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p>
        </w:tc>
        <w:tc>
          <w:tcPr>
            <w:tcW w:w="7731" w:type="dxa"/>
            <w:vAlign w:val="top"/>
          </w:tcPr>
          <w:p w14:paraId="716DA42A">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根据投标人提供的自2021年1月1日以来至投标截止时间止（以验收证明材料时间为准）已完成同类项目情况进行评价。每提供1个得1分 ，满分3分。 每个项目有效证明材料须同时包括: 1.服务合同; 2.满意度或管理费缴交凭证。所有材料缺一不可，否则不得分。</w:t>
            </w:r>
          </w:p>
        </w:tc>
      </w:tr>
      <w:tr w14:paraId="4494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35" w:type="dxa"/>
            <w:vAlign w:val="top"/>
          </w:tcPr>
          <w:p w14:paraId="7F5D41EE">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5.24小时响应热线</w:t>
            </w:r>
          </w:p>
        </w:tc>
        <w:tc>
          <w:tcPr>
            <w:tcW w:w="764" w:type="dxa"/>
            <w:vAlign w:val="top"/>
          </w:tcPr>
          <w:p w14:paraId="1D7B733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w:t>
            </w:r>
          </w:p>
        </w:tc>
        <w:tc>
          <w:tcPr>
            <w:tcW w:w="7731" w:type="dxa"/>
            <w:vAlign w:val="top"/>
          </w:tcPr>
          <w:p w14:paraId="19F3AA4D">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投标人已设立24小时客户服务电话的，得5分。有效证明材料须同时包括: 1.运营商服务合同及相关佐证材料。所有材料缺一不可，否则不得分。</w:t>
            </w:r>
          </w:p>
        </w:tc>
      </w:tr>
    </w:tbl>
    <w:p w14:paraId="7BD75576">
      <w:pPr>
        <w:pBdr>
          <w:top w:val="none" w:color="auto" w:sz="0" w:space="1"/>
          <w:left w:val="none" w:color="auto" w:sz="0" w:space="4"/>
          <w:bottom w:val="none" w:color="auto" w:sz="0" w:space="1"/>
          <w:right w:val="none" w:color="auto" w:sz="0" w:space="4"/>
        </w:pBdr>
        <w:spacing w:line="440" w:lineRule="atLeas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③报价部分评分（F3）为满分10分 </w:t>
      </w:r>
    </w:p>
    <w:p w14:paraId="12F09EDB">
      <w:pPr>
        <w:pBdr>
          <w:top w:val="none" w:color="auto" w:sz="0" w:space="1"/>
          <w:left w:val="none" w:color="auto" w:sz="0" w:space="4"/>
          <w:bottom w:val="none" w:color="auto" w:sz="0" w:space="1"/>
          <w:right w:val="none" w:color="auto" w:sz="0" w:space="4"/>
        </w:pBdr>
        <w:spacing w:line="440" w:lineRule="atLeast"/>
        <w:rPr>
          <w:rFonts w:hint="eastAsia" w:ascii="宋体" w:hAnsi="宋体" w:cs="宋体"/>
          <w:color w:val="000000"/>
        </w:rPr>
      </w:pPr>
      <w:r>
        <w:rPr>
          <w:rFonts w:hint="eastAsia" w:ascii="宋体" w:hAnsi="宋体" w:eastAsia="宋体" w:cs="宋体"/>
          <w:kern w:val="2"/>
          <w:sz w:val="28"/>
          <w:szCs w:val="28"/>
          <w:lang w:val="en-US" w:eastAsia="zh-CN" w:bidi="ar-SA"/>
        </w:rPr>
        <w:t>价格分采用高价优先法计算，即满足磋商文件要求且最后报价最高的供应商的价格为磋商基准价，其价格分为满分。其他供应商的价格分统一按照下列公式计算：磋商报价得分=（各供应商投标报价／投标最高价）×10。因落实政府采购优惠政策需进行价格扣除的，以扣除后的价格计算磋商基准价和最后磋商报价。</w:t>
      </w:r>
    </w:p>
    <w:p w14:paraId="7F3C3445">
      <w:pPr>
        <w:adjustRightInd/>
        <w:snapToGrid/>
        <w:spacing w:after="0"/>
        <w:rPr>
          <w:rFonts w:hint="eastAsia" w:ascii="宋体" w:hAnsi="宋体" w:eastAsia="宋体"/>
          <w:b/>
          <w:sz w:val="28"/>
          <w:szCs w:val="28"/>
        </w:rPr>
      </w:pPr>
      <w:r>
        <w:rPr>
          <w:rFonts w:ascii="宋体" w:hAnsi="宋体" w:eastAsia="宋体"/>
          <w:b/>
          <w:sz w:val="28"/>
          <w:szCs w:val="28"/>
        </w:rPr>
        <w:br w:type="page"/>
      </w:r>
    </w:p>
    <w:p w14:paraId="021CF627">
      <w:pPr>
        <w:pStyle w:val="12"/>
        <w:ind w:firstLine="0"/>
        <w:jc w:val="center"/>
        <w:rPr>
          <w:rFonts w:hint="eastAsia" w:ascii="宋体" w:hAnsi="宋体" w:eastAsia="宋体"/>
        </w:rPr>
      </w:pPr>
      <w:r>
        <w:rPr>
          <w:rFonts w:hint="eastAsia" w:ascii="宋体" w:hAnsi="宋体" w:eastAsia="宋体"/>
          <w:b/>
          <w:sz w:val="28"/>
          <w:szCs w:val="28"/>
        </w:rPr>
        <w:t>一、投标书</w:t>
      </w:r>
    </w:p>
    <w:p w14:paraId="798A6222">
      <w:pPr>
        <w:rPr>
          <w:rFonts w:hint="eastAsia" w:ascii="宋体" w:hAnsi="宋体" w:eastAsia="宋体"/>
          <w:sz w:val="28"/>
          <w:szCs w:val="28"/>
        </w:rPr>
      </w:pPr>
      <w:r>
        <w:rPr>
          <w:rFonts w:hint="eastAsia" w:ascii="宋体" w:hAnsi="宋体" w:eastAsia="宋体"/>
          <w:sz w:val="28"/>
          <w:szCs w:val="28"/>
        </w:rPr>
        <w:t>致：福建省肿瘤医院</w:t>
      </w:r>
    </w:p>
    <w:p w14:paraId="6712DE66">
      <w:pPr>
        <w:rPr>
          <w:rFonts w:hint="eastAsia" w:ascii="宋体" w:hAnsi="宋体" w:eastAsia="宋体"/>
          <w:sz w:val="28"/>
          <w:szCs w:val="28"/>
        </w:rPr>
      </w:pPr>
      <w:r>
        <w:rPr>
          <w:rFonts w:hint="eastAsia" w:ascii="宋体" w:hAnsi="宋体" w:eastAsia="宋体"/>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宋体" w:hAnsi="宋体" w:eastAsia="宋体"/>
          <w:b/>
          <w:sz w:val="28"/>
          <w:szCs w:val="28"/>
          <w:u w:val="single"/>
        </w:rPr>
        <w:t xml:space="preserve">：      </w:t>
      </w:r>
      <w:r>
        <w:rPr>
          <w:rFonts w:hint="eastAsia" w:ascii="宋体" w:hAnsi="宋体" w:eastAsia="宋体"/>
          <w:sz w:val="28"/>
          <w:szCs w:val="28"/>
          <w:u w:val="single"/>
        </w:rPr>
        <w:t xml:space="preserve">  （小写：           ）</w:t>
      </w:r>
      <w:r>
        <w:rPr>
          <w:rFonts w:hint="eastAsia" w:ascii="宋体" w:hAnsi="宋体" w:eastAsia="宋体"/>
          <w:sz w:val="28"/>
          <w:szCs w:val="28"/>
        </w:rPr>
        <w:t>的投标报价并按上述条款、标准要求承包上述项目，并承担任何质量缺陷保修责任。</w:t>
      </w:r>
    </w:p>
    <w:p w14:paraId="2946837C">
      <w:pPr>
        <w:ind w:firstLine="532" w:firstLineChars="190"/>
        <w:rPr>
          <w:rFonts w:hint="eastAsia" w:ascii="宋体" w:hAnsi="宋体" w:eastAsia="宋体"/>
          <w:sz w:val="28"/>
          <w:szCs w:val="28"/>
        </w:rPr>
      </w:pPr>
      <w:r>
        <w:rPr>
          <w:rFonts w:hint="eastAsia" w:ascii="宋体" w:hAnsi="宋体" w:eastAsia="宋体"/>
          <w:sz w:val="28"/>
          <w:szCs w:val="28"/>
        </w:rPr>
        <w:t>2、我方已详细审核全部招标文件及有关附件。</w:t>
      </w:r>
    </w:p>
    <w:p w14:paraId="44F185BD">
      <w:pPr>
        <w:ind w:firstLine="532" w:firstLineChars="190"/>
        <w:rPr>
          <w:rFonts w:hint="eastAsia" w:ascii="宋体" w:hAnsi="宋体" w:eastAsia="宋体"/>
          <w:sz w:val="28"/>
          <w:szCs w:val="28"/>
        </w:rPr>
      </w:pPr>
      <w:r>
        <w:rPr>
          <w:rFonts w:hint="eastAsia" w:ascii="宋体" w:hAnsi="宋体" w:eastAsia="宋体"/>
          <w:sz w:val="28"/>
          <w:szCs w:val="28"/>
        </w:rPr>
        <w:t>3、一旦我方中标，我方保证质量达到</w:t>
      </w:r>
      <w:r>
        <w:rPr>
          <w:rFonts w:hint="eastAsia" w:ascii="宋体" w:hAnsi="宋体" w:eastAsia="宋体"/>
          <w:b/>
          <w:sz w:val="28"/>
          <w:szCs w:val="28"/>
          <w:u w:val="single"/>
        </w:rPr>
        <w:t>投标须知、投标文件等规定</w:t>
      </w:r>
      <w:r>
        <w:rPr>
          <w:rFonts w:hint="eastAsia" w:ascii="宋体" w:hAnsi="宋体" w:eastAsia="宋体"/>
          <w:sz w:val="28"/>
          <w:szCs w:val="28"/>
        </w:rPr>
        <w:t>标准。</w:t>
      </w:r>
    </w:p>
    <w:p w14:paraId="1333D459">
      <w:pPr>
        <w:ind w:firstLine="532" w:firstLineChars="190"/>
        <w:rPr>
          <w:rFonts w:hint="eastAsia" w:ascii="宋体" w:hAnsi="宋体" w:eastAsia="宋体"/>
          <w:sz w:val="28"/>
          <w:szCs w:val="28"/>
        </w:rPr>
      </w:pPr>
      <w:r>
        <w:rPr>
          <w:rFonts w:hint="eastAsia" w:ascii="宋体" w:hAnsi="宋体" w:eastAsia="宋体"/>
          <w:sz w:val="28"/>
          <w:szCs w:val="28"/>
        </w:rPr>
        <w:t>4、我方同意所提交的投标文件在招标文件的投标须知中规定的投标有效期内有效，在此期间内如果中标，我方将受此约束。</w:t>
      </w:r>
    </w:p>
    <w:p w14:paraId="3601A861">
      <w:pPr>
        <w:ind w:firstLine="426"/>
        <w:rPr>
          <w:rFonts w:hint="eastAsia" w:ascii="宋体" w:hAnsi="宋体" w:eastAsia="宋体"/>
          <w:sz w:val="28"/>
          <w:szCs w:val="28"/>
        </w:rPr>
      </w:pPr>
      <w:r>
        <w:rPr>
          <w:rFonts w:hint="eastAsia" w:ascii="宋体" w:hAnsi="宋体" w:eastAsia="宋体"/>
          <w:sz w:val="28"/>
          <w:szCs w:val="28"/>
        </w:rPr>
        <w:t>5、除非另外达成协议并生效，你方的中标通知书和本投标文件将成为约束双方的合同文件的组成部分。</w:t>
      </w:r>
    </w:p>
    <w:p w14:paraId="0AD1D415">
      <w:pPr>
        <w:ind w:firstLine="560" w:firstLineChars="200"/>
        <w:rPr>
          <w:rFonts w:hint="eastAsia" w:ascii="宋体" w:hAnsi="宋体" w:eastAsia="宋体"/>
          <w:sz w:val="28"/>
          <w:szCs w:val="28"/>
        </w:rPr>
      </w:pPr>
      <w:r>
        <w:rPr>
          <w:rFonts w:hint="eastAsia" w:ascii="宋体" w:hAnsi="宋体" w:eastAsia="宋体"/>
          <w:sz w:val="28"/>
          <w:szCs w:val="28"/>
        </w:rPr>
        <w:t>附件：报价清单</w:t>
      </w:r>
    </w:p>
    <w:p w14:paraId="3FD9D588">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投标人（盖章）： </w:t>
      </w:r>
    </w:p>
    <w:p w14:paraId="3F7DD72E">
      <w:pPr>
        <w:spacing w:line="360" w:lineRule="exact"/>
        <w:rPr>
          <w:rFonts w:hint="eastAsia" w:ascii="宋体" w:hAnsi="宋体" w:eastAsia="宋体"/>
          <w:sz w:val="28"/>
          <w:szCs w:val="28"/>
        </w:rPr>
      </w:pPr>
    </w:p>
    <w:p w14:paraId="614A5020">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单位地址： </w:t>
      </w:r>
    </w:p>
    <w:p w14:paraId="2651D6C2">
      <w:pPr>
        <w:spacing w:line="360" w:lineRule="exact"/>
        <w:rPr>
          <w:rFonts w:hint="eastAsia" w:ascii="宋体" w:hAnsi="宋体" w:eastAsia="宋体"/>
          <w:sz w:val="28"/>
          <w:szCs w:val="28"/>
        </w:rPr>
      </w:pPr>
    </w:p>
    <w:p w14:paraId="6BABEF61">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法定代表人（签字或盖章）：</w:t>
      </w:r>
    </w:p>
    <w:p w14:paraId="4CA169DC">
      <w:pPr>
        <w:spacing w:line="360" w:lineRule="exact"/>
        <w:rPr>
          <w:rFonts w:hint="eastAsia" w:ascii="宋体" w:hAnsi="宋体" w:eastAsia="宋体"/>
          <w:sz w:val="28"/>
          <w:szCs w:val="28"/>
        </w:rPr>
      </w:pPr>
    </w:p>
    <w:p w14:paraId="49F1ED9B">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邮政编码：         </w:t>
      </w:r>
    </w:p>
    <w:p w14:paraId="301546F1">
      <w:pPr>
        <w:spacing w:line="360" w:lineRule="exact"/>
        <w:ind w:firstLine="3220" w:firstLineChars="1150"/>
        <w:rPr>
          <w:rFonts w:hint="eastAsia" w:ascii="宋体" w:hAnsi="宋体" w:eastAsia="宋体"/>
          <w:sz w:val="28"/>
          <w:szCs w:val="28"/>
        </w:rPr>
      </w:pPr>
    </w:p>
    <w:p w14:paraId="4669A0E6">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电话：       </w:t>
      </w:r>
    </w:p>
    <w:p w14:paraId="69D3B69A">
      <w:pPr>
        <w:spacing w:line="360" w:lineRule="exact"/>
        <w:ind w:firstLine="3220" w:firstLineChars="1150"/>
        <w:rPr>
          <w:rFonts w:hint="eastAsia" w:ascii="宋体" w:hAnsi="宋体" w:eastAsia="宋体"/>
          <w:sz w:val="28"/>
          <w:szCs w:val="28"/>
        </w:rPr>
      </w:pPr>
    </w:p>
    <w:p w14:paraId="469AC702">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传真：  </w:t>
      </w:r>
    </w:p>
    <w:p w14:paraId="65E40140">
      <w:pPr>
        <w:spacing w:line="360" w:lineRule="exact"/>
        <w:rPr>
          <w:rFonts w:hint="eastAsia" w:ascii="宋体" w:hAnsi="宋体" w:eastAsia="宋体"/>
          <w:sz w:val="28"/>
          <w:szCs w:val="28"/>
        </w:rPr>
      </w:pPr>
    </w:p>
    <w:p w14:paraId="1E1029DD">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开户银行名称： </w:t>
      </w:r>
    </w:p>
    <w:p w14:paraId="78AA13B8">
      <w:pPr>
        <w:spacing w:line="360" w:lineRule="exact"/>
        <w:rPr>
          <w:rFonts w:hint="eastAsia" w:ascii="宋体" w:hAnsi="宋体" w:eastAsia="宋体"/>
          <w:sz w:val="28"/>
          <w:szCs w:val="28"/>
        </w:rPr>
      </w:pPr>
    </w:p>
    <w:p w14:paraId="7AE611B2">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开户银行帐号： </w:t>
      </w:r>
    </w:p>
    <w:p w14:paraId="3689FFDC">
      <w:pPr>
        <w:spacing w:line="360" w:lineRule="exact"/>
        <w:rPr>
          <w:rFonts w:hint="eastAsia" w:ascii="宋体" w:hAnsi="宋体" w:eastAsia="宋体"/>
          <w:sz w:val="28"/>
          <w:szCs w:val="28"/>
        </w:rPr>
      </w:pPr>
    </w:p>
    <w:p w14:paraId="1304FF2B">
      <w:pPr>
        <w:spacing w:line="360" w:lineRule="exact"/>
        <w:jc w:val="center"/>
        <w:rPr>
          <w:rFonts w:hint="eastAsia" w:ascii="宋体" w:hAnsi="宋体" w:eastAsia="宋体"/>
          <w:sz w:val="28"/>
          <w:szCs w:val="28"/>
        </w:rPr>
      </w:pPr>
      <w:r>
        <w:rPr>
          <w:rFonts w:hint="eastAsia" w:ascii="宋体" w:hAnsi="宋体" w:eastAsia="宋体"/>
          <w:sz w:val="28"/>
          <w:szCs w:val="28"/>
        </w:rPr>
        <w:t>开户银行地址：</w:t>
      </w:r>
    </w:p>
    <w:p w14:paraId="564F260E">
      <w:pPr>
        <w:spacing w:line="360" w:lineRule="exact"/>
        <w:rPr>
          <w:rFonts w:hint="eastAsia" w:ascii="宋体" w:hAnsi="宋体" w:eastAsia="宋体"/>
          <w:sz w:val="28"/>
          <w:szCs w:val="28"/>
        </w:rPr>
      </w:pPr>
    </w:p>
    <w:p w14:paraId="477E86BE">
      <w:pPr>
        <w:spacing w:line="360" w:lineRule="exact"/>
        <w:ind w:firstLine="3220" w:firstLineChars="1150"/>
        <w:rPr>
          <w:rFonts w:hint="eastAsia" w:ascii="宋体" w:hAnsi="宋体" w:eastAsia="宋体"/>
          <w:sz w:val="28"/>
          <w:szCs w:val="28"/>
        </w:rPr>
      </w:pPr>
      <w:r>
        <w:rPr>
          <w:rFonts w:hint="eastAsia" w:ascii="宋体" w:hAnsi="宋体" w:eastAsia="宋体"/>
          <w:sz w:val="28"/>
          <w:szCs w:val="28"/>
        </w:rPr>
        <w:t xml:space="preserve">开户银行电话： </w:t>
      </w:r>
    </w:p>
    <w:p w14:paraId="41B7D599">
      <w:pPr>
        <w:spacing w:line="360" w:lineRule="exact"/>
        <w:ind w:firstLine="600"/>
        <w:rPr>
          <w:rFonts w:hint="eastAsia" w:ascii="宋体" w:hAnsi="宋体" w:eastAsia="宋体"/>
          <w:sz w:val="28"/>
          <w:szCs w:val="28"/>
        </w:rPr>
      </w:pPr>
    </w:p>
    <w:p w14:paraId="43984EA5">
      <w:pPr>
        <w:spacing w:line="360" w:lineRule="exact"/>
        <w:jc w:val="right"/>
        <w:rPr>
          <w:rFonts w:hint="eastAsia" w:ascii="宋体" w:hAnsi="宋体" w:eastAsia="宋体"/>
          <w:sz w:val="28"/>
          <w:szCs w:val="28"/>
        </w:rPr>
      </w:pPr>
      <w:r>
        <w:rPr>
          <w:rFonts w:hint="eastAsia" w:ascii="宋体" w:hAnsi="宋体" w:eastAsia="宋体"/>
          <w:sz w:val="28"/>
          <w:szCs w:val="28"/>
        </w:rPr>
        <w:t>日期：   年   月    日</w:t>
      </w:r>
    </w:p>
    <w:p w14:paraId="49396406">
      <w:pPr>
        <w:rPr>
          <w:rFonts w:hint="eastAsia" w:ascii="宋体" w:hAnsi="宋体" w:eastAsia="宋体"/>
          <w:sz w:val="28"/>
          <w:szCs w:val="28"/>
        </w:rPr>
      </w:pPr>
    </w:p>
    <w:p w14:paraId="69195030">
      <w:pPr>
        <w:rPr>
          <w:rFonts w:hint="eastAsia" w:ascii="宋体" w:hAnsi="宋体" w:eastAsia="宋体"/>
          <w:sz w:val="28"/>
          <w:szCs w:val="28"/>
        </w:rPr>
      </w:pPr>
      <w:r>
        <w:rPr>
          <w:rFonts w:hint="eastAsia" w:ascii="宋体" w:hAnsi="宋体" w:eastAsia="宋体"/>
          <w:sz w:val="28"/>
          <w:szCs w:val="28"/>
        </w:rPr>
        <w:t>附件：投标报价清单</w:t>
      </w:r>
    </w:p>
    <w:p w14:paraId="2D552E85">
      <w:pPr>
        <w:rPr>
          <w:rFonts w:hint="eastAsia" w:ascii="宋体" w:hAnsi="宋体" w:eastAsia="宋体"/>
          <w:sz w:val="28"/>
          <w:szCs w:val="28"/>
        </w:rPr>
      </w:pPr>
    </w:p>
    <w:tbl>
      <w:tblPr>
        <w:tblStyle w:val="20"/>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776B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30655458">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17BF3FF1">
            <w:pPr>
              <w:jc w:val="center"/>
              <w:rPr>
                <w:rFonts w:hint="eastAsia" w:ascii="宋体" w:hAnsi="宋体" w:eastAsia="宋体" w:cs="Arial"/>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9A822B9">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1501BA01">
            <w:pPr>
              <w:jc w:val="center"/>
              <w:rPr>
                <w:rFonts w:hint="eastAsia" w:ascii="宋体" w:hAnsi="宋体" w:eastAsia="宋体" w:cs="Arial"/>
                <w:sz w:val="28"/>
                <w:szCs w:val="28"/>
              </w:rPr>
            </w:pPr>
          </w:p>
        </w:tc>
      </w:tr>
      <w:tr w14:paraId="0045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5AE2F613">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CA2D70F">
            <w:pPr>
              <w:pStyle w:val="17"/>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01B6D4E9">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2475EC5F">
            <w:pPr>
              <w:jc w:val="center"/>
              <w:rPr>
                <w:rFonts w:hint="eastAsia" w:ascii="宋体" w:hAnsi="宋体" w:eastAsia="宋体" w:cs="Arial"/>
                <w:sz w:val="28"/>
                <w:szCs w:val="28"/>
              </w:rPr>
            </w:pPr>
          </w:p>
        </w:tc>
      </w:tr>
      <w:tr w14:paraId="06CE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7B6F3F5">
            <w:pPr>
              <w:jc w:val="center"/>
              <w:rPr>
                <w:rFonts w:hint="eastAsia" w:ascii="宋体" w:hAnsi="宋体" w:eastAsia="宋体" w:cs="Arial"/>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254A91BD">
            <w:pPr>
              <w:pStyle w:val="17"/>
              <w:shd w:val="clear" w:color="auto" w:fill="FFFFFF"/>
              <w:spacing w:line="304" w:lineRule="atLeast"/>
              <w:rPr>
                <w:rFonts w:hint="eastAsia" w:ascii="宋体" w:hAnsi="宋体" w:eastAsia="宋体" w:cs="宋体"/>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14:paraId="4B527810">
            <w:pPr>
              <w:jc w:val="center"/>
              <w:rPr>
                <w:rFonts w:hint="eastAsia" w:ascii="宋体" w:hAnsi="宋体" w:eastAsia="宋体" w:cs="Arial"/>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14:paraId="38DA6AA5">
            <w:pPr>
              <w:jc w:val="center"/>
              <w:rPr>
                <w:rFonts w:hint="eastAsia" w:ascii="宋体" w:hAnsi="宋体" w:eastAsia="宋体" w:cs="Arial"/>
                <w:sz w:val="28"/>
                <w:szCs w:val="28"/>
              </w:rPr>
            </w:pPr>
          </w:p>
        </w:tc>
      </w:tr>
    </w:tbl>
    <w:p w14:paraId="7C158656">
      <w:pPr>
        <w:jc w:val="center"/>
        <w:rPr>
          <w:rFonts w:hint="eastAsia" w:ascii="宋体" w:hAnsi="宋体" w:eastAsia="宋体"/>
          <w:sz w:val="28"/>
          <w:szCs w:val="28"/>
        </w:rPr>
      </w:pPr>
    </w:p>
    <w:p w14:paraId="758B500A">
      <w:pPr>
        <w:adjustRightInd/>
        <w:snapToGrid/>
        <w:spacing w:after="0"/>
        <w:rPr>
          <w:rFonts w:hint="eastAsia" w:ascii="宋体" w:hAnsi="宋体" w:eastAsia="宋体"/>
          <w:b/>
          <w:sz w:val="28"/>
          <w:szCs w:val="28"/>
        </w:rPr>
      </w:pPr>
      <w:r>
        <w:rPr>
          <w:rFonts w:ascii="宋体" w:hAnsi="宋体" w:eastAsia="宋体"/>
          <w:b/>
          <w:sz w:val="28"/>
          <w:szCs w:val="28"/>
        </w:rPr>
        <w:br w:type="page"/>
      </w:r>
    </w:p>
    <w:p w14:paraId="1B31D395">
      <w:pPr>
        <w:jc w:val="center"/>
        <w:rPr>
          <w:rFonts w:hint="eastAsia" w:ascii="宋体" w:hAnsi="宋体" w:eastAsia="宋体"/>
          <w:b/>
          <w:sz w:val="28"/>
          <w:szCs w:val="28"/>
        </w:rPr>
      </w:pPr>
      <w:r>
        <w:rPr>
          <w:rFonts w:hint="eastAsia" w:ascii="宋体" w:hAnsi="宋体" w:eastAsia="宋体"/>
          <w:b/>
          <w:sz w:val="28"/>
          <w:szCs w:val="28"/>
        </w:rPr>
        <w:t>二、投标委托代表人资格证明书</w:t>
      </w:r>
    </w:p>
    <w:p w14:paraId="0892DD52">
      <w:pPr>
        <w:rPr>
          <w:rFonts w:hint="eastAsia" w:ascii="宋体" w:hAnsi="宋体" w:eastAsia="宋体"/>
          <w:sz w:val="28"/>
          <w:szCs w:val="28"/>
        </w:rPr>
      </w:pPr>
    </w:p>
    <w:p w14:paraId="63AA3BFF">
      <w:pPr>
        <w:spacing w:line="360" w:lineRule="auto"/>
        <w:rPr>
          <w:rFonts w:hint="eastAsia" w:ascii="宋体" w:hAnsi="宋体" w:eastAsia="宋体"/>
          <w:sz w:val="28"/>
          <w:szCs w:val="28"/>
          <w:u w:val="single"/>
        </w:rPr>
      </w:pPr>
      <w:r>
        <w:rPr>
          <w:rFonts w:hint="eastAsia" w:ascii="宋体" w:hAnsi="宋体" w:eastAsia="宋体"/>
          <w:sz w:val="28"/>
          <w:szCs w:val="28"/>
        </w:rPr>
        <w:t>单位名称：</w:t>
      </w:r>
    </w:p>
    <w:p w14:paraId="71B69B38">
      <w:pPr>
        <w:spacing w:line="360" w:lineRule="auto"/>
        <w:rPr>
          <w:rFonts w:hint="eastAsia" w:ascii="宋体" w:hAnsi="宋体" w:eastAsia="宋体"/>
          <w:sz w:val="28"/>
          <w:szCs w:val="28"/>
          <w:u w:val="single"/>
        </w:rPr>
      </w:pPr>
      <w:r>
        <w:rPr>
          <w:rFonts w:hint="eastAsia" w:ascii="宋体" w:hAnsi="宋体" w:eastAsia="宋体"/>
          <w:sz w:val="28"/>
          <w:szCs w:val="28"/>
        </w:rPr>
        <w:t>地址：</w:t>
      </w:r>
    </w:p>
    <w:p w14:paraId="2897314F">
      <w:pPr>
        <w:spacing w:line="360" w:lineRule="auto"/>
        <w:rPr>
          <w:rFonts w:hint="eastAsia" w:ascii="宋体" w:hAnsi="宋体" w:eastAsia="宋体"/>
          <w:sz w:val="28"/>
          <w:szCs w:val="28"/>
        </w:rPr>
      </w:pPr>
      <w:r>
        <w:rPr>
          <w:rFonts w:hint="eastAsia" w:ascii="宋体" w:hAnsi="宋体" w:eastAsia="宋体"/>
          <w:sz w:val="28"/>
          <w:szCs w:val="28"/>
        </w:rPr>
        <w:t>姓名：    性别：年龄：  职务：   系委托代表人。为施工、竣工和保修项目，签署上述项目的投标文件、进行合同谈判、签署合同和处理与之有关的一切事务。</w:t>
      </w:r>
    </w:p>
    <w:p w14:paraId="62C00FC8">
      <w:pPr>
        <w:spacing w:line="360" w:lineRule="auto"/>
        <w:rPr>
          <w:rFonts w:hint="eastAsia" w:ascii="宋体" w:hAnsi="宋体" w:eastAsia="宋体"/>
          <w:sz w:val="28"/>
          <w:szCs w:val="28"/>
        </w:rPr>
      </w:pPr>
    </w:p>
    <w:p w14:paraId="4F06D5AC">
      <w:pPr>
        <w:spacing w:line="360" w:lineRule="auto"/>
        <w:ind w:firstLine="5460" w:firstLineChars="1950"/>
        <w:rPr>
          <w:rFonts w:hint="eastAsia" w:ascii="宋体" w:hAnsi="宋体" w:eastAsia="宋体"/>
          <w:sz w:val="28"/>
          <w:szCs w:val="28"/>
        </w:rPr>
      </w:pPr>
      <w:r>
        <w:rPr>
          <w:rFonts w:hint="eastAsia" w:ascii="宋体" w:hAnsi="宋体" w:eastAsia="宋体"/>
          <w:sz w:val="28"/>
          <w:szCs w:val="28"/>
        </w:rPr>
        <w:t xml:space="preserve">投标人（盖章）：   </w:t>
      </w:r>
    </w:p>
    <w:p w14:paraId="0BED63B7">
      <w:pPr>
        <w:spacing w:line="360" w:lineRule="auto"/>
        <w:ind w:firstLine="5740" w:firstLineChars="2050"/>
        <w:rPr>
          <w:rFonts w:hint="eastAsia" w:ascii="宋体" w:hAnsi="宋体" w:eastAsia="宋体"/>
          <w:sz w:val="28"/>
          <w:szCs w:val="28"/>
        </w:rPr>
      </w:pPr>
      <w:r>
        <w:rPr>
          <w:rFonts w:hint="eastAsia" w:ascii="宋体" w:hAnsi="宋体" w:eastAsia="宋体"/>
          <w:sz w:val="28"/>
          <w:szCs w:val="28"/>
        </w:rPr>
        <w:t>年   月  日</w:t>
      </w:r>
    </w:p>
    <w:p w14:paraId="487E0EF8">
      <w:pPr>
        <w:jc w:val="center"/>
        <w:rPr>
          <w:rFonts w:hint="eastAsia" w:ascii="宋体" w:hAnsi="宋体" w:eastAsia="宋体"/>
          <w:b/>
          <w:sz w:val="28"/>
          <w:szCs w:val="28"/>
        </w:rPr>
      </w:pPr>
    </w:p>
    <w:p w14:paraId="6FE7C891">
      <w:pPr>
        <w:jc w:val="center"/>
        <w:rPr>
          <w:rFonts w:hint="eastAsia" w:ascii="宋体" w:hAnsi="宋体" w:eastAsia="宋体"/>
          <w:b/>
          <w:sz w:val="28"/>
          <w:szCs w:val="28"/>
        </w:rPr>
      </w:pPr>
    </w:p>
    <w:p w14:paraId="35487F1B">
      <w:pPr>
        <w:adjustRightInd/>
        <w:snapToGrid/>
        <w:spacing w:after="0"/>
        <w:rPr>
          <w:rFonts w:hint="eastAsia" w:ascii="宋体" w:hAnsi="宋体" w:eastAsia="宋体"/>
          <w:b/>
          <w:sz w:val="28"/>
          <w:szCs w:val="28"/>
        </w:rPr>
      </w:pPr>
      <w:r>
        <w:rPr>
          <w:rFonts w:ascii="宋体" w:hAnsi="宋体" w:eastAsia="宋体"/>
          <w:b/>
          <w:sz w:val="28"/>
          <w:szCs w:val="28"/>
        </w:rPr>
        <w:br w:type="page"/>
      </w:r>
    </w:p>
    <w:p w14:paraId="1C468C7D">
      <w:pPr>
        <w:jc w:val="center"/>
        <w:rPr>
          <w:rFonts w:hint="eastAsia" w:ascii="宋体" w:hAnsi="宋体" w:eastAsia="宋体"/>
          <w:b/>
          <w:sz w:val="28"/>
          <w:szCs w:val="28"/>
        </w:rPr>
      </w:pPr>
      <w:r>
        <w:rPr>
          <w:rFonts w:hint="eastAsia" w:ascii="宋体" w:hAnsi="宋体" w:eastAsia="宋体"/>
          <w:b/>
          <w:sz w:val="28"/>
          <w:szCs w:val="28"/>
        </w:rPr>
        <w:t>三、投标承诺书</w:t>
      </w:r>
    </w:p>
    <w:p w14:paraId="284C38B5">
      <w:pPr>
        <w:tabs>
          <w:tab w:val="left" w:pos="5355"/>
        </w:tabs>
        <w:spacing w:before="100" w:beforeAutospacing="1" w:after="100" w:afterAutospacing="1" w:line="48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5ABC5653">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5FFF0AC3">
      <w:pPr>
        <w:tabs>
          <w:tab w:val="left" w:pos="5355"/>
        </w:tabs>
        <w:spacing w:before="100" w:beforeAutospacing="1" w:after="100" w:afterAutospacing="1" w:line="48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我司承诺福建省肿瘤医院在授予我司合同时有权利增加补充相关内容。</w:t>
      </w:r>
    </w:p>
    <w:p w14:paraId="6607A17D">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投标人名称（全称并加公章）：</w:t>
      </w:r>
    </w:p>
    <w:p w14:paraId="2CEA40F8">
      <w:pPr>
        <w:tabs>
          <w:tab w:val="left" w:pos="5355"/>
        </w:tabs>
        <w:spacing w:before="100" w:beforeAutospacing="1" w:after="100" w:afterAutospacing="1" w:line="480" w:lineRule="auto"/>
        <w:rPr>
          <w:rFonts w:hint="eastAsia" w:ascii="宋体" w:hAnsi="宋体" w:eastAsia="宋体" w:cs="宋体"/>
          <w:sz w:val="28"/>
          <w:szCs w:val="28"/>
        </w:rPr>
      </w:pPr>
      <w:r>
        <w:rPr>
          <w:rFonts w:hint="eastAsia" w:ascii="宋体" w:hAnsi="宋体" w:eastAsia="宋体" w:cs="宋体"/>
          <w:sz w:val="28"/>
          <w:szCs w:val="28"/>
        </w:rPr>
        <w:t>投标人代表签字：</w:t>
      </w:r>
    </w:p>
    <w:p w14:paraId="72BF8CA5">
      <w:pPr>
        <w:tabs>
          <w:tab w:val="left" w:pos="5355"/>
        </w:tabs>
        <w:spacing w:before="100" w:beforeAutospacing="1" w:after="100" w:afterAutospacing="1" w:line="480" w:lineRule="auto"/>
        <w:rPr>
          <w:rFonts w:hint="eastAsia" w:ascii="宋体" w:hAnsi="宋体" w:eastAsia="宋体"/>
          <w:b/>
          <w:sz w:val="28"/>
          <w:szCs w:val="28"/>
        </w:rPr>
      </w:pPr>
      <w:r>
        <w:rPr>
          <w:rFonts w:hint="eastAsia" w:ascii="宋体" w:hAnsi="宋体" w:eastAsia="宋体" w:cs="宋体"/>
          <w:sz w:val="28"/>
          <w:szCs w:val="28"/>
        </w:rPr>
        <w:t>日期：     年    月   日</w:t>
      </w:r>
    </w:p>
    <w:p w14:paraId="626584EF">
      <w:pPr>
        <w:spacing w:line="380" w:lineRule="exact"/>
        <w:rPr>
          <w:rFonts w:hint="eastAsia" w:ascii="宋体" w:hAnsi="宋体" w:eastAsia="宋体"/>
          <w:sz w:val="28"/>
          <w:szCs w:val="28"/>
        </w:rPr>
      </w:pPr>
    </w:p>
    <w:p w14:paraId="1E8A0E50">
      <w:pPr>
        <w:adjustRightInd/>
        <w:snapToGrid/>
        <w:spacing w:after="0"/>
        <w:rPr>
          <w:rFonts w:hint="eastAsia" w:ascii="宋体" w:hAnsi="宋体" w:eastAsia="宋体"/>
          <w:sz w:val="28"/>
          <w:szCs w:val="28"/>
        </w:rPr>
      </w:pPr>
      <w:r>
        <w:rPr>
          <w:rFonts w:hint="eastAsia" w:ascii="宋体" w:hAnsi="宋体" w:eastAsia="宋体"/>
          <w:sz w:val="28"/>
          <w:szCs w:val="28"/>
        </w:rPr>
        <w:br w:type="page"/>
      </w:r>
    </w:p>
    <w:p w14:paraId="30E1A0AF">
      <w:pPr>
        <w:jc w:val="center"/>
        <w:rPr>
          <w:rFonts w:hint="eastAsia" w:ascii="宋体" w:hAnsi="宋体" w:eastAsia="宋体"/>
          <w:b/>
          <w:sz w:val="28"/>
          <w:szCs w:val="28"/>
        </w:rPr>
      </w:pPr>
      <w:r>
        <w:rPr>
          <w:rFonts w:ascii="宋体" w:hAnsi="宋体" w:eastAsia="宋体"/>
          <w:b/>
          <w:sz w:val="28"/>
          <w:szCs w:val="28"/>
        </w:rPr>
        <w:t>四、采购供应商资格承诺函</w:t>
      </w:r>
    </w:p>
    <w:p w14:paraId="7283DAD4">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致：（采购人或采购代理机构）</w:t>
      </w:r>
    </w:p>
    <w:p w14:paraId="03A066A7">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单位名称(自然人姓名):</w:t>
      </w:r>
    </w:p>
    <w:p w14:paraId="16CCB587">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统一社会信用代码(自然人身份证号码):</w:t>
      </w:r>
    </w:p>
    <w:p w14:paraId="2064C960">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法定代表人(负责人):</w:t>
      </w:r>
    </w:p>
    <w:p w14:paraId="0431A034">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联系地址和电话:</w:t>
      </w:r>
    </w:p>
    <w:p w14:paraId="20278222">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我单位(本人)自愿参加本次政府采购活动，严格遵守《中华人民共和国政府采购法》及相关法律法规，坚守公开、公平公正和诚实信用等原则，依法诚信经营，并郑重承诺:</w:t>
      </w:r>
    </w:p>
    <w:p w14:paraId="18870D29">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一、我单位(本人)具备采购文件要求以及《中华人民共和国政府采购法》第二十二条规定的条件:</w:t>
      </w:r>
    </w:p>
    <w:p w14:paraId="562106DB">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1.具有独立承担民事责任的能力;</w:t>
      </w:r>
    </w:p>
    <w:p w14:paraId="09811950">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2.具有良好的商业信誉和健全的财务会计制度;</w:t>
      </w:r>
    </w:p>
    <w:p w14:paraId="20D17616">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3.具有履行合同所必需的设备和专业技术能力;</w:t>
      </w:r>
    </w:p>
    <w:p w14:paraId="6914E59E">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4.有依法缴纳税收和社会保障资金的良好记录;</w:t>
      </w:r>
    </w:p>
    <w:p w14:paraId="097D0F91">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5.参加政府采购活动前三年内，在经营活动中没有重大违法记录；</w:t>
      </w:r>
    </w:p>
    <w:p w14:paraId="3ACE5FB7">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6.法律、行政法规规定的其他条件。</w:t>
      </w:r>
    </w:p>
    <w:p w14:paraId="2937AAA5">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3AED662">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68645A3">
      <w:pPr>
        <w:pStyle w:val="27"/>
        <w:ind w:firstLine="480"/>
        <w:jc w:val="right"/>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供应商：名称(单位公章):</w:t>
      </w:r>
    </w:p>
    <w:p w14:paraId="07FD9A7D">
      <w:pPr>
        <w:pStyle w:val="27"/>
        <w:ind w:firstLine="480"/>
        <w:jc w:val="right"/>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日期：　　年　　月　　日</w:t>
      </w:r>
    </w:p>
    <w:p w14:paraId="3655C277">
      <w:pPr>
        <w:pStyle w:val="27"/>
        <w:ind w:firstLine="48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注：</w:t>
      </w:r>
    </w:p>
    <w:p w14:paraId="142E2E46">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1.我单位(本人)专指参加政府采购活动的供应商(含自然人)；</w:t>
      </w:r>
    </w:p>
    <w:p w14:paraId="535DE541">
      <w:pPr>
        <w:pStyle w:val="27"/>
        <w:ind w:firstLine="96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2.资格承诺的供应商应在投标(响应)文件中按此模板提供承诺函，否则，视为未按照招标文件规定提交投标人的资格及资信文件，按资格审查不通过处理。</w:t>
      </w:r>
    </w:p>
    <w:p w14:paraId="37A544B8">
      <w:pPr>
        <w:spacing w:line="380" w:lineRule="exact"/>
        <w:rPr>
          <w:rFonts w:hint="eastAsia" w:ascii="宋体" w:hAnsi="宋体" w:eastAsia="宋体"/>
          <w:sz w:val="28"/>
          <w:szCs w:val="28"/>
        </w:rPr>
      </w:pPr>
    </w:p>
    <w:p w14:paraId="0DFD4BAE">
      <w:pPr>
        <w:spacing w:line="380" w:lineRule="exact"/>
        <w:ind w:firstLine="560" w:firstLineChars="200"/>
        <w:rPr>
          <w:rFonts w:hint="eastAsia" w:ascii="宋体" w:hAnsi="宋体" w:eastAsia="宋体"/>
          <w:sz w:val="28"/>
          <w:szCs w:val="28"/>
        </w:rPr>
      </w:pPr>
    </w:p>
    <w:p w14:paraId="1676EB97">
      <w:pPr>
        <w:adjustRightInd/>
        <w:snapToGrid/>
        <w:spacing w:after="0"/>
        <w:rPr>
          <w:rFonts w:hint="eastAsia" w:ascii="宋体" w:hAnsi="宋体" w:eastAsia="宋体"/>
          <w:b/>
          <w:sz w:val="30"/>
          <w:szCs w:val="30"/>
        </w:rPr>
      </w:pPr>
      <w:r>
        <w:rPr>
          <w:rFonts w:hint="eastAsia" w:ascii="宋体" w:hAnsi="宋体" w:eastAsia="宋体"/>
          <w:b/>
          <w:sz w:val="30"/>
          <w:szCs w:val="30"/>
        </w:rPr>
        <w:br w:type="page"/>
      </w:r>
    </w:p>
    <w:p w14:paraId="41415712">
      <w:pPr>
        <w:tabs>
          <w:tab w:val="left" w:pos="1600"/>
        </w:tabs>
        <w:spacing w:line="560" w:lineRule="exact"/>
        <w:ind w:left="330" w:firstLine="240"/>
        <w:jc w:val="center"/>
        <w:rPr>
          <w:rFonts w:hint="eastAsia" w:ascii="宋体" w:hAnsi="宋体" w:eastAsia="宋体"/>
          <w:b/>
          <w:sz w:val="30"/>
          <w:szCs w:val="30"/>
        </w:rPr>
      </w:pPr>
      <w:r>
        <w:rPr>
          <w:rFonts w:hint="eastAsia" w:ascii="宋体" w:hAnsi="宋体" w:eastAsia="宋体"/>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27DB">
    <w:pPr>
      <w:rPr>
        <w:rFonts w:ascii="Times New Roman" w:hAnsi="Times New Roman" w:eastAsia="宋体"/>
        <w:sz w:val="18"/>
        <w:szCs w:val="18"/>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wps:spPr>
                      <a:xfrm>
                        <a:off x="0" y="0"/>
                        <a:ext cx="57785" cy="258445"/>
                      </a:xfrm>
                      <a:prstGeom prst="rect">
                        <a:avLst/>
                      </a:prstGeom>
                      <a:noFill/>
                      <a:ln>
                        <a:noFill/>
                      </a:ln>
                    </wps:spPr>
                    <wps:txbx>
                      <w:txbxContent>
                        <w:p w14:paraId="48091C31">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TAqDRAAAAAgEAAA8AAAAAAAAAAQAgAAAAIgAAAGRycy9kb3ducmV2Lnht&#10;bFBLAQIUABQAAAAIAIdO4kB+jVirxwEAAIwDAAAOAAAAAAAAAAEAIAAAACABAABkcnMvZTJvRG9j&#10;LnhtbFBLBQYAAAAABgAGAFkBAABZBQAAAAA=&#10;">
              <v:fill on="f" focussize="0,0"/>
              <v:stroke on="f"/>
              <v:imagedata o:title=""/>
              <o:lock v:ext="edit" aspectratio="f"/>
              <v:textbox inset="0mm,0mm,0mm,0mm" style="mso-fit-shape-to-text:t;">
                <w:txbxContent>
                  <w:p w14:paraId="48091C31">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4686A"/>
    <w:multiLevelType w:val="multilevel"/>
    <w:tmpl w:val="0AA4686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jNjYzViNGQwNmIzZWU5ZmY5OGFhMzA5YTVmNTUifQ=="/>
  </w:docVars>
  <w:rsids>
    <w:rsidRoot w:val="00000000"/>
    <w:rsid w:val="1B4545CD"/>
    <w:rsid w:val="220F5852"/>
    <w:rsid w:val="4AD360AC"/>
    <w:rsid w:val="7A1245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link w:val="30"/>
    <w:qFormat/>
    <w:uiPriority w:val="9"/>
    <w:pPr>
      <w:keepNext/>
      <w:keepLines/>
      <w:spacing w:before="480" w:after="80"/>
      <w:outlineLvl w:val="0"/>
    </w:pPr>
    <w:rPr>
      <w:rFonts w:ascii="Cambria" w:hAnsi="Cambria" w:eastAsia="宋体" w:cs="黑体"/>
      <w:color w:val="365F90"/>
      <w:sz w:val="48"/>
      <w:szCs w:val="48"/>
    </w:rPr>
  </w:style>
  <w:style w:type="paragraph" w:styleId="4">
    <w:name w:val="heading 2"/>
    <w:basedOn w:val="1"/>
    <w:next w:val="1"/>
    <w:link w:val="31"/>
    <w:semiHidden/>
    <w:unhideWhenUsed/>
    <w:qFormat/>
    <w:uiPriority w:val="9"/>
    <w:pPr>
      <w:keepNext/>
      <w:keepLines/>
      <w:spacing w:before="160" w:after="80"/>
      <w:outlineLvl w:val="1"/>
    </w:pPr>
    <w:rPr>
      <w:rFonts w:ascii="Cambria" w:hAnsi="Cambria" w:eastAsia="宋体" w:cs="黑体"/>
      <w:color w:val="365F90"/>
      <w:sz w:val="40"/>
      <w:szCs w:val="40"/>
    </w:rPr>
  </w:style>
  <w:style w:type="paragraph" w:styleId="5">
    <w:name w:val="heading 3"/>
    <w:basedOn w:val="1"/>
    <w:next w:val="1"/>
    <w:link w:val="32"/>
    <w:semiHidden/>
    <w:unhideWhenUsed/>
    <w:qFormat/>
    <w:uiPriority w:val="9"/>
    <w:pPr>
      <w:keepNext/>
      <w:keepLines/>
      <w:spacing w:before="160" w:after="80"/>
      <w:outlineLvl w:val="2"/>
    </w:pPr>
    <w:rPr>
      <w:rFonts w:ascii="Cambria" w:hAnsi="Cambria" w:eastAsia="宋体" w:cs="黑体"/>
      <w:color w:val="365F90"/>
      <w:sz w:val="32"/>
      <w:szCs w:val="32"/>
    </w:rPr>
  </w:style>
  <w:style w:type="paragraph" w:styleId="6">
    <w:name w:val="heading 4"/>
    <w:basedOn w:val="1"/>
    <w:next w:val="1"/>
    <w:link w:val="33"/>
    <w:semiHidden/>
    <w:unhideWhenUsed/>
    <w:qFormat/>
    <w:uiPriority w:val="9"/>
    <w:pPr>
      <w:keepNext/>
      <w:keepLines/>
      <w:spacing w:before="80" w:after="40"/>
      <w:outlineLvl w:val="3"/>
    </w:pPr>
    <w:rPr>
      <w:rFonts w:cs="黑体"/>
      <w:color w:val="365F90"/>
      <w:sz w:val="28"/>
      <w:szCs w:val="28"/>
    </w:rPr>
  </w:style>
  <w:style w:type="paragraph" w:styleId="7">
    <w:name w:val="heading 5"/>
    <w:basedOn w:val="1"/>
    <w:next w:val="1"/>
    <w:link w:val="34"/>
    <w:semiHidden/>
    <w:unhideWhenUsed/>
    <w:qFormat/>
    <w:uiPriority w:val="9"/>
    <w:pPr>
      <w:keepNext/>
      <w:keepLines/>
      <w:spacing w:before="80" w:after="40"/>
      <w:outlineLvl w:val="4"/>
    </w:pPr>
    <w:rPr>
      <w:rFonts w:cs="黑体"/>
      <w:color w:val="365F90"/>
      <w:sz w:val="24"/>
      <w:szCs w:val="24"/>
    </w:rPr>
  </w:style>
  <w:style w:type="paragraph" w:styleId="8">
    <w:name w:val="heading 6"/>
    <w:basedOn w:val="1"/>
    <w:next w:val="1"/>
    <w:link w:val="35"/>
    <w:semiHidden/>
    <w:unhideWhenUsed/>
    <w:qFormat/>
    <w:uiPriority w:val="9"/>
    <w:pPr>
      <w:keepNext/>
      <w:keepLines/>
      <w:spacing w:before="40"/>
      <w:outlineLvl w:val="5"/>
    </w:pPr>
    <w:rPr>
      <w:rFonts w:cs="黑体"/>
      <w:b/>
      <w:bCs/>
      <w:color w:val="365F90"/>
    </w:rPr>
  </w:style>
  <w:style w:type="paragraph" w:styleId="9">
    <w:name w:val="heading 7"/>
    <w:basedOn w:val="1"/>
    <w:next w:val="1"/>
    <w:link w:val="36"/>
    <w:semiHidden/>
    <w:unhideWhenUsed/>
    <w:qFormat/>
    <w:uiPriority w:val="9"/>
    <w:pPr>
      <w:keepNext/>
      <w:keepLines/>
      <w:spacing w:before="40"/>
      <w:outlineLvl w:val="6"/>
    </w:pPr>
    <w:rPr>
      <w:rFonts w:cs="黑体"/>
      <w:b/>
      <w:bCs/>
      <w:color w:val="565656"/>
    </w:rPr>
  </w:style>
  <w:style w:type="paragraph" w:styleId="10">
    <w:name w:val="heading 8"/>
    <w:basedOn w:val="1"/>
    <w:next w:val="1"/>
    <w:link w:val="37"/>
    <w:semiHidden/>
    <w:unhideWhenUsed/>
    <w:qFormat/>
    <w:uiPriority w:val="9"/>
    <w:pPr>
      <w:keepNext/>
      <w:keepLines/>
      <w:outlineLvl w:val="7"/>
    </w:pPr>
    <w:rPr>
      <w:rFonts w:cs="黑体"/>
      <w:color w:val="565656"/>
    </w:rPr>
  </w:style>
  <w:style w:type="paragraph" w:styleId="11">
    <w:name w:val="heading 9"/>
    <w:basedOn w:val="1"/>
    <w:next w:val="1"/>
    <w:link w:val="38"/>
    <w:semiHidden/>
    <w:unhideWhenUsed/>
    <w:qFormat/>
    <w:uiPriority w:val="9"/>
    <w:pPr>
      <w:keepNext/>
      <w:keepLines/>
      <w:outlineLvl w:val="8"/>
    </w:pPr>
    <w:rPr>
      <w:rFonts w:eastAsia="宋体" w:cs="黑体"/>
      <w:color w:val="565656"/>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link w:val="50"/>
    <w:semiHidden/>
    <w:unhideWhenUsed/>
    <w:uiPriority w:val="99"/>
    <w:pPr>
      <w:spacing w:after="120"/>
    </w:pPr>
  </w:style>
  <w:style w:type="paragraph" w:styleId="12">
    <w:name w:val="Normal Indent"/>
    <w:basedOn w:val="1"/>
    <w:link w:val="49"/>
    <w:qFormat/>
    <w:uiPriority w:val="0"/>
    <w:pPr>
      <w:adjustRightInd/>
      <w:snapToGrid/>
      <w:spacing w:after="0"/>
      <w:ind w:firstLine="420"/>
    </w:pPr>
    <w:rPr>
      <w:rFonts w:ascii="Times New Roman" w:hAnsi="Times New Roman" w:eastAsia="宋体"/>
      <w:sz w:val="20"/>
      <w:szCs w:val="20"/>
    </w:rPr>
  </w:style>
  <w:style w:type="paragraph" w:styleId="13">
    <w:name w:val="footer"/>
    <w:basedOn w:val="1"/>
    <w:link w:val="46"/>
    <w:unhideWhenUsed/>
    <w:qFormat/>
    <w:uiPriority w:val="99"/>
    <w:pPr>
      <w:tabs>
        <w:tab w:val="center" w:pos="4153"/>
        <w:tab w:val="right" w:pos="8306"/>
      </w:tabs>
    </w:pPr>
    <w:rPr>
      <w:sz w:val="18"/>
      <w:szCs w:val="18"/>
    </w:rPr>
  </w:style>
  <w:style w:type="paragraph" w:styleId="14">
    <w:name w:val="header"/>
    <w:basedOn w:val="1"/>
    <w:link w:val="45"/>
    <w:unhideWhenUsed/>
    <w:uiPriority w:val="99"/>
    <w:pPr>
      <w:tabs>
        <w:tab w:val="center" w:pos="4153"/>
        <w:tab w:val="right" w:pos="8306"/>
      </w:tabs>
      <w:jc w:val="center"/>
    </w:pPr>
    <w:rPr>
      <w:sz w:val="18"/>
      <w:szCs w:val="18"/>
    </w:rPr>
  </w:style>
  <w:style w:type="paragraph" w:styleId="15">
    <w:name w:val="Subtitle"/>
    <w:basedOn w:val="1"/>
    <w:next w:val="1"/>
    <w:link w:val="40"/>
    <w:qFormat/>
    <w:uiPriority w:val="11"/>
    <w:pPr>
      <w:numPr>
        <w:ilvl w:val="0"/>
        <w:numId w:val="0"/>
      </w:numPr>
      <w:spacing w:after="160"/>
      <w:jc w:val="center"/>
    </w:pPr>
    <w:rPr>
      <w:rFonts w:ascii="Cambria" w:hAnsi="Cambria" w:eastAsia="宋体" w:cs="黑体"/>
      <w:color w:val="565656"/>
      <w:spacing w:val="15"/>
      <w:sz w:val="28"/>
      <w:szCs w:val="28"/>
    </w:rPr>
  </w:style>
  <w:style w:type="paragraph" w:styleId="16">
    <w:name w:val="Body Text 2"/>
    <w:basedOn w:val="1"/>
    <w:link w:val="47"/>
    <w:qFormat/>
    <w:uiPriority w:val="0"/>
    <w:pPr>
      <w:spacing w:after="120" w:line="480" w:lineRule="auto"/>
    </w:pPr>
  </w:style>
  <w:style w:type="paragraph" w:styleId="17">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0"/>
    <w:pPr>
      <w:spacing w:before="100" w:beforeAutospacing="1" w:after="100" w:afterAutospacing="1"/>
    </w:pPr>
    <w:rPr>
      <w:sz w:val="24"/>
    </w:rPr>
  </w:style>
  <w:style w:type="paragraph" w:styleId="19">
    <w:name w:val="Title"/>
    <w:basedOn w:val="1"/>
    <w:next w:val="1"/>
    <w:link w:val="39"/>
    <w:qFormat/>
    <w:uiPriority w:val="10"/>
    <w:pPr>
      <w:spacing w:after="80"/>
      <w:contextualSpacing/>
      <w:jc w:val="center"/>
    </w:pPr>
    <w:rPr>
      <w:rFonts w:ascii="Cambria" w:hAnsi="Cambria" w:eastAsia="宋体" w:cs="黑体"/>
      <w:spacing w:val="-10"/>
      <w:kern w:val="28"/>
      <w:sz w:val="56"/>
      <w:szCs w:val="56"/>
    </w:rPr>
  </w:style>
  <w:style w:type="character" w:styleId="22">
    <w:name w:val="Strong"/>
    <w:basedOn w:val="21"/>
    <w:qFormat/>
    <w:uiPriority w:val="99"/>
    <w:rPr>
      <w:rFonts w:cs="Times New Roman"/>
      <w:b/>
      <w:bCs/>
    </w:rPr>
  </w:style>
  <w:style w:type="character" w:styleId="23">
    <w:name w:val="Hyperlink"/>
    <w:basedOn w:val="21"/>
    <w:qFormat/>
    <w:uiPriority w:val="0"/>
    <w:rPr>
      <w:color w:val="0000FF"/>
      <w:u w:val="single"/>
    </w:rPr>
  </w:style>
  <w:style w:type="paragraph" w:customStyle="1" w:styleId="24">
    <w:name w:val="Quote"/>
    <w:basedOn w:val="1"/>
    <w:next w:val="1"/>
    <w:link w:val="41"/>
    <w:qFormat/>
    <w:uiPriority w:val="29"/>
    <w:pPr>
      <w:spacing w:before="160" w:after="160"/>
      <w:jc w:val="center"/>
    </w:pPr>
    <w:rPr>
      <w:i/>
      <w:iCs/>
      <w:color w:val="3F3F3F"/>
    </w:rPr>
  </w:style>
  <w:style w:type="paragraph" w:customStyle="1" w:styleId="25">
    <w:name w:val="List Paragraph"/>
    <w:basedOn w:val="1"/>
    <w:qFormat/>
    <w:uiPriority w:val="99"/>
    <w:pPr>
      <w:ind w:left="720"/>
      <w:contextualSpacing/>
    </w:pPr>
  </w:style>
  <w:style w:type="paragraph" w:customStyle="1" w:styleId="26">
    <w:name w:val="Intense Quote"/>
    <w:basedOn w:val="1"/>
    <w:next w:val="1"/>
    <w:link w:val="43"/>
    <w:qFormat/>
    <w:uiPriority w:val="30"/>
    <w:pPr>
      <w:pBdr>
        <w:top w:val="single" w:color="365F91" w:sz="4" w:space="10"/>
        <w:bottom w:val="single" w:color="365F91" w:sz="4" w:space="10"/>
      </w:pBdr>
      <w:spacing w:before="360" w:after="360"/>
      <w:ind w:left="864" w:right="864"/>
      <w:jc w:val="center"/>
    </w:pPr>
    <w:rPr>
      <w:i/>
      <w:iCs/>
      <w:color w:val="365F90"/>
    </w:rPr>
  </w:style>
  <w:style w:type="paragraph" w:customStyle="1" w:styleId="27">
    <w:name w:val="null3"/>
    <w:qFormat/>
    <w:uiPriority w:val="0"/>
    <w:rPr>
      <w:rFonts w:hint="eastAsia" w:ascii="Calibri" w:hAnsi="Calibri" w:eastAsia="宋体" w:cs="Times New Roman"/>
      <w:kern w:val="0"/>
      <w:sz w:val="20"/>
      <w:szCs w:val="20"/>
      <w:lang w:val="en-US" w:eastAsia="zh-CN" w:bidi="ar-SA"/>
    </w:rPr>
  </w:style>
  <w:style w:type="paragraph" w:customStyle="1" w:styleId="28">
    <w:name w:val="列出段落1"/>
    <w:basedOn w:val="1"/>
    <w:qFormat/>
    <w:uiPriority w:val="0"/>
    <w:pPr>
      <w:widowControl w:val="0"/>
      <w:adjustRightInd/>
      <w:snapToGrid/>
      <w:spacing w:after="0"/>
      <w:ind w:firstLine="420" w:firstLineChars="200"/>
      <w:jc w:val="both"/>
    </w:pPr>
    <w:rPr>
      <w:rFonts w:ascii="Times New Roman" w:hAnsi="Times New Roman" w:eastAsia="宋体"/>
      <w:sz w:val="24"/>
      <w:szCs w:val="24"/>
    </w:rPr>
  </w:style>
  <w:style w:type="paragraph" w:customStyle="1" w:styleId="29">
    <w:name w:val="Char1"/>
    <w:basedOn w:val="1"/>
    <w:qFormat/>
    <w:uiPriority w:val="0"/>
    <w:pPr>
      <w:widowControl w:val="0"/>
      <w:adjustRightInd/>
      <w:snapToGrid/>
      <w:spacing w:after="0"/>
      <w:jc w:val="both"/>
    </w:pPr>
    <w:rPr>
      <w:rFonts w:eastAsia="宋体"/>
      <w:kern w:val="2"/>
      <w:sz w:val="24"/>
      <w:szCs w:val="20"/>
    </w:rPr>
  </w:style>
  <w:style w:type="character" w:customStyle="1" w:styleId="30">
    <w:name w:val="标题 1 字符"/>
    <w:basedOn w:val="21"/>
    <w:link w:val="3"/>
    <w:qFormat/>
    <w:uiPriority w:val="9"/>
    <w:rPr>
      <w:rFonts w:ascii="Cambria" w:hAnsi="Cambria" w:eastAsia="宋体" w:cs="黑体"/>
      <w:color w:val="365F90"/>
      <w:sz w:val="48"/>
      <w:szCs w:val="48"/>
    </w:rPr>
  </w:style>
  <w:style w:type="character" w:customStyle="1" w:styleId="31">
    <w:name w:val="标题 2 字符"/>
    <w:basedOn w:val="21"/>
    <w:link w:val="4"/>
    <w:qFormat/>
    <w:uiPriority w:val="9"/>
    <w:rPr>
      <w:rFonts w:ascii="Cambria" w:hAnsi="Cambria" w:eastAsia="宋体" w:cs="黑体"/>
      <w:color w:val="365F90"/>
      <w:sz w:val="40"/>
      <w:szCs w:val="40"/>
    </w:rPr>
  </w:style>
  <w:style w:type="character" w:customStyle="1" w:styleId="32">
    <w:name w:val="标题 3 字符"/>
    <w:basedOn w:val="21"/>
    <w:link w:val="5"/>
    <w:uiPriority w:val="9"/>
    <w:rPr>
      <w:rFonts w:ascii="Cambria" w:hAnsi="Cambria" w:eastAsia="宋体" w:cs="黑体"/>
      <w:color w:val="365F90"/>
      <w:sz w:val="32"/>
      <w:szCs w:val="32"/>
    </w:rPr>
  </w:style>
  <w:style w:type="character" w:customStyle="1" w:styleId="33">
    <w:name w:val="标题 4 字符"/>
    <w:basedOn w:val="21"/>
    <w:link w:val="6"/>
    <w:qFormat/>
    <w:uiPriority w:val="9"/>
    <w:rPr>
      <w:rFonts w:cs="黑体"/>
      <w:color w:val="365F90"/>
      <w:sz w:val="28"/>
      <w:szCs w:val="28"/>
    </w:rPr>
  </w:style>
  <w:style w:type="character" w:customStyle="1" w:styleId="34">
    <w:name w:val="标题 5 字符"/>
    <w:basedOn w:val="21"/>
    <w:link w:val="7"/>
    <w:qFormat/>
    <w:uiPriority w:val="9"/>
    <w:rPr>
      <w:rFonts w:cs="黑体"/>
      <w:color w:val="365F90"/>
      <w:sz w:val="24"/>
      <w:szCs w:val="24"/>
    </w:rPr>
  </w:style>
  <w:style w:type="character" w:customStyle="1" w:styleId="35">
    <w:name w:val="标题 6 字符"/>
    <w:basedOn w:val="21"/>
    <w:link w:val="8"/>
    <w:qFormat/>
    <w:uiPriority w:val="9"/>
    <w:rPr>
      <w:rFonts w:cs="黑体"/>
      <w:b/>
      <w:bCs/>
      <w:color w:val="365F90"/>
    </w:rPr>
  </w:style>
  <w:style w:type="character" w:customStyle="1" w:styleId="36">
    <w:name w:val="标题 7 字符"/>
    <w:basedOn w:val="21"/>
    <w:link w:val="9"/>
    <w:qFormat/>
    <w:uiPriority w:val="9"/>
    <w:rPr>
      <w:rFonts w:cs="黑体"/>
      <w:b/>
      <w:bCs/>
      <w:color w:val="565656"/>
    </w:rPr>
  </w:style>
  <w:style w:type="character" w:customStyle="1" w:styleId="37">
    <w:name w:val="标题 8 字符"/>
    <w:basedOn w:val="21"/>
    <w:link w:val="10"/>
    <w:uiPriority w:val="9"/>
    <w:rPr>
      <w:rFonts w:cs="黑体"/>
      <w:color w:val="565656"/>
    </w:rPr>
  </w:style>
  <w:style w:type="character" w:customStyle="1" w:styleId="38">
    <w:name w:val="标题 9 字符"/>
    <w:basedOn w:val="21"/>
    <w:link w:val="11"/>
    <w:uiPriority w:val="9"/>
    <w:rPr>
      <w:rFonts w:eastAsia="宋体" w:cs="黑体"/>
      <w:color w:val="565656"/>
    </w:rPr>
  </w:style>
  <w:style w:type="character" w:customStyle="1" w:styleId="39">
    <w:name w:val="标题 字符"/>
    <w:basedOn w:val="21"/>
    <w:link w:val="19"/>
    <w:qFormat/>
    <w:uiPriority w:val="10"/>
    <w:rPr>
      <w:rFonts w:ascii="Cambria" w:hAnsi="Cambria" w:eastAsia="宋体" w:cs="黑体"/>
      <w:spacing w:val="-10"/>
      <w:kern w:val="28"/>
      <w:sz w:val="56"/>
      <w:szCs w:val="56"/>
    </w:rPr>
  </w:style>
  <w:style w:type="character" w:customStyle="1" w:styleId="40">
    <w:name w:val="副标题 字符"/>
    <w:basedOn w:val="21"/>
    <w:link w:val="15"/>
    <w:uiPriority w:val="11"/>
    <w:rPr>
      <w:rFonts w:ascii="Cambria" w:hAnsi="Cambria" w:eastAsia="宋体" w:cs="黑体"/>
      <w:color w:val="565656"/>
      <w:spacing w:val="15"/>
      <w:sz w:val="28"/>
      <w:szCs w:val="28"/>
    </w:rPr>
  </w:style>
  <w:style w:type="character" w:customStyle="1" w:styleId="41">
    <w:name w:val="引用 字符"/>
    <w:basedOn w:val="21"/>
    <w:link w:val="24"/>
    <w:uiPriority w:val="29"/>
    <w:rPr>
      <w:i/>
      <w:iCs/>
      <w:color w:val="3F3F3F"/>
    </w:rPr>
  </w:style>
  <w:style w:type="character" w:customStyle="1" w:styleId="42">
    <w:name w:val="Intense Emphasis"/>
    <w:basedOn w:val="21"/>
    <w:qFormat/>
    <w:uiPriority w:val="21"/>
    <w:rPr>
      <w:i/>
      <w:iCs/>
      <w:color w:val="365F90"/>
    </w:rPr>
  </w:style>
  <w:style w:type="character" w:customStyle="1" w:styleId="43">
    <w:name w:val="明显引用 字符"/>
    <w:basedOn w:val="21"/>
    <w:link w:val="26"/>
    <w:qFormat/>
    <w:uiPriority w:val="30"/>
    <w:rPr>
      <w:i/>
      <w:iCs/>
      <w:color w:val="365F90"/>
    </w:rPr>
  </w:style>
  <w:style w:type="character" w:customStyle="1" w:styleId="44">
    <w:name w:val="Intense Reference"/>
    <w:basedOn w:val="21"/>
    <w:qFormat/>
    <w:uiPriority w:val="32"/>
    <w:rPr>
      <w:b/>
      <w:bCs/>
      <w:smallCaps/>
      <w:color w:val="365F90"/>
      <w:spacing w:val="5"/>
    </w:rPr>
  </w:style>
  <w:style w:type="character" w:customStyle="1" w:styleId="45">
    <w:name w:val="页眉 字符"/>
    <w:basedOn w:val="21"/>
    <w:link w:val="14"/>
    <w:qFormat/>
    <w:uiPriority w:val="99"/>
    <w:rPr>
      <w:sz w:val="18"/>
      <w:szCs w:val="18"/>
    </w:rPr>
  </w:style>
  <w:style w:type="character" w:customStyle="1" w:styleId="46">
    <w:name w:val="页脚 字符"/>
    <w:basedOn w:val="21"/>
    <w:link w:val="13"/>
    <w:qFormat/>
    <w:uiPriority w:val="99"/>
    <w:rPr>
      <w:sz w:val="18"/>
      <w:szCs w:val="18"/>
    </w:rPr>
  </w:style>
  <w:style w:type="character" w:customStyle="1" w:styleId="47">
    <w:name w:val="正文文本 2 字符"/>
    <w:basedOn w:val="21"/>
    <w:link w:val="16"/>
    <w:qFormat/>
    <w:uiPriority w:val="0"/>
    <w:rPr>
      <w:rFonts w:ascii="Tahoma" w:hAnsi="Tahoma" w:eastAsia="微软雅黑" w:cs="Times New Roman"/>
      <w:kern w:val="0"/>
      <w:sz w:val="22"/>
    </w:rPr>
  </w:style>
  <w:style w:type="character" w:customStyle="1" w:styleId="48">
    <w:name w:val="HTML 预设格式 字符"/>
    <w:basedOn w:val="21"/>
    <w:link w:val="17"/>
    <w:qFormat/>
    <w:uiPriority w:val="0"/>
    <w:rPr>
      <w:rFonts w:ascii="宋体" w:hAnsi="宋体" w:eastAsia="宋体" w:cs="Times New Roman"/>
      <w:kern w:val="0"/>
      <w:sz w:val="24"/>
      <w:szCs w:val="24"/>
    </w:rPr>
  </w:style>
  <w:style w:type="character" w:customStyle="1" w:styleId="49">
    <w:name w:val="正文缩进 字符"/>
    <w:link w:val="12"/>
    <w:uiPriority w:val="0"/>
    <w:rPr>
      <w:rFonts w:ascii="Times New Roman" w:hAnsi="Times New Roman" w:eastAsia="宋体" w:cs="Times New Roman"/>
      <w:kern w:val="0"/>
      <w:sz w:val="20"/>
      <w:szCs w:val="20"/>
    </w:rPr>
  </w:style>
  <w:style w:type="character" w:customStyle="1" w:styleId="50">
    <w:name w:val="正文文本 字符"/>
    <w:basedOn w:val="21"/>
    <w:link w:val="2"/>
    <w:qFormat/>
    <w:uiPriority w:val="99"/>
    <w:rPr>
      <w:rFonts w:ascii="Tahoma" w:hAnsi="Tahoma" w:eastAsia="微软雅黑" w:cs="Times New Roman"/>
      <w:kern w:val="0"/>
      <w:sz w:val="22"/>
    </w:rPr>
  </w:style>
  <w:style w:type="character" w:customStyle="1" w:styleId="51">
    <w:name w:val="font71"/>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8535</Words>
  <Characters>8802</Characters>
  <Lines>65</Lines>
  <Paragraphs>18</Paragraphs>
  <TotalTime>15</TotalTime>
  <ScaleCrop>false</ScaleCrop>
  <LinksUpToDate>false</LinksUpToDate>
  <CharactersWithSpaces>8913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miracle</cp:lastModifiedBy>
  <cp:lastPrinted>2024-07-18T07:30:00Z</cp:lastPrinted>
  <dcterms:modified xsi:type="dcterms:W3CDTF">2024-11-06T08:40:20Z</dcterms:modified>
  <dc:title>福建省肿瘤医院太平间委托管理服务遴选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ACE7DBE8919047D898C980B44F104685_13</vt:lpwstr>
  </property>
</Properties>
</file>