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3"/>
        <w:jc w:val="center"/>
        <w:rPr>
          <w:rFonts w:hint="eastAsia" w:ascii="仿宋_GB2312" w:hAnsi="仿宋_GB2312" w:eastAsia="方正小标宋简体" w:cs="仿宋_GB2312"/>
          <w:b w:val="0"/>
          <w:kern w:val="2"/>
          <w:sz w:val="32"/>
          <w:szCs w:val="32"/>
          <w:lang w:eastAsia="zh-CN"/>
        </w:rPr>
      </w:pPr>
      <w:bookmarkStart w:id="4" w:name="_GoBack"/>
      <w:r>
        <w:rPr>
          <w:rFonts w:hint="eastAsia" w:ascii="方正小标宋简体" w:hAnsi="方正小标宋简体" w:eastAsia="方正小标宋简体" w:cs="方正小标宋简体"/>
          <w:b w:val="0"/>
          <w:kern w:val="2"/>
          <w:sz w:val="44"/>
          <w:szCs w:val="44"/>
          <w:lang w:val="en-US" w:eastAsia="zh-CN"/>
        </w:rPr>
        <w:t>福建省肿瘤医院采购</w:t>
      </w:r>
      <w:r>
        <w:rPr>
          <w:rFonts w:hint="eastAsia" w:ascii="方正小标宋简体" w:hAnsi="方正小标宋简体" w:eastAsia="方正小标宋简体" w:cs="方正小标宋简体"/>
          <w:b w:val="0"/>
          <w:kern w:val="2"/>
          <w:sz w:val="44"/>
          <w:szCs w:val="44"/>
        </w:rPr>
        <w:t>调研公</w:t>
      </w:r>
      <w:r>
        <w:rPr>
          <w:rFonts w:hint="eastAsia" w:ascii="方正小标宋简体" w:hAnsi="方正小标宋简体" w:eastAsia="方正小标宋简体" w:cs="方正小标宋简体"/>
          <w:b w:val="0"/>
          <w:kern w:val="2"/>
          <w:sz w:val="44"/>
          <w:szCs w:val="44"/>
          <w:lang w:val="en-US" w:eastAsia="zh-CN"/>
        </w:rPr>
        <w:t>告</w:t>
      </w:r>
    </w:p>
    <w:p>
      <w:pPr>
        <w:widowControl/>
        <w:shd w:val="clear" w:color="auto" w:fill="FFFFFF"/>
        <w:wordWrap/>
        <w:adjustRightInd w:val="0"/>
        <w:snapToGrid w:val="0"/>
        <w:spacing w:beforeLines="50" w:line="59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000000"/>
          <w:kern w:val="0"/>
          <w:sz w:val="32"/>
          <w:szCs w:val="32"/>
          <w:shd w:val="clear" w:color="auto" w:fill="FFFFFF"/>
        </w:rPr>
        <w:t>第一部分 须知前附表</w:t>
      </w:r>
    </w:p>
    <w:tbl>
      <w:tblPr>
        <w:tblpPr w:leftFromText="180" w:rightFromText="180" w:vertAnchor="text" w:horzAnchor="page" w:tblpX="1852" w:tblpY="337"/>
        <w:tblOverlap w:val="never"/>
        <w:tblW w:w="8745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64"/>
        <w:gridCol w:w="778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9" w:hRule="atLeast"/>
        </w:trPr>
        <w:tc>
          <w:tcPr>
            <w:tcW w:w="9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7"/>
              <w:widowControl/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32"/>
                <w:szCs w:val="32"/>
              </w:rPr>
              <w:t>序号</w:t>
            </w:r>
          </w:p>
        </w:tc>
        <w:tc>
          <w:tcPr>
            <w:tcW w:w="77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15" w:lineRule="atLeas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32"/>
                <w:szCs w:val="32"/>
              </w:rPr>
              <w:t>主　　　要　　　 内　　　 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9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15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77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15" w:lineRule="atLeast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项目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名称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动物中心全流程管理平台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44" w:hRule="atLeast"/>
        </w:trPr>
        <w:tc>
          <w:tcPr>
            <w:tcW w:w="9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15" w:lineRule="atLeas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77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150" w:line="560" w:lineRule="exact"/>
              <w:jc w:val="both"/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调研报名时间：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 xml:space="preserve"> 2024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24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日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至10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31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日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8"/>
                <w:kern w:val="0"/>
                <w:sz w:val="32"/>
                <w:szCs w:val="32"/>
                <w:shd w:val="clear" w:color="auto" w:fill="FFFFFF"/>
              </w:rPr>
              <w:t>(节假日除外)8：00-12：00或14：00-17：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8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8"/>
                <w:kern w:val="0"/>
                <w:sz w:val="32"/>
                <w:szCs w:val="32"/>
                <w:shd w:val="clear" w:color="auto" w:fill="FFFFFF"/>
              </w:rPr>
              <w:t>0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8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(北京时间）</w:t>
            </w:r>
          </w:p>
          <w:p>
            <w:pPr>
              <w:widowControl/>
              <w:spacing w:line="315" w:lineRule="atLeast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调研会时间：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u w:val="none" w:color="auto"/>
                <w:lang w:val="en-US" w:eastAsia="zh-CN"/>
              </w:rPr>
              <w:t xml:space="preserve"> 2024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日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 xml:space="preserve"> 9:00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5" w:hRule="atLeast"/>
        </w:trPr>
        <w:tc>
          <w:tcPr>
            <w:tcW w:w="9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15" w:lineRule="atLeas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77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15" w:lineRule="atLeast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  <w:t>文件正本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32"/>
                <w:szCs w:val="32"/>
                <w:highlight w:val="none"/>
                <w:u w:val="single"/>
              </w:rPr>
              <w:t>壹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  <w:t>份,副本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32"/>
                <w:szCs w:val="32"/>
                <w:highlight w:val="none"/>
                <w:u w:val="single"/>
              </w:rPr>
              <w:t>壹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  <w:t>份胶装并密封加盖投标人公章。文件未胶装将视为无效。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1" w:hRule="atLeast"/>
        </w:trPr>
        <w:tc>
          <w:tcPr>
            <w:tcW w:w="9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15" w:lineRule="atLeas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77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15" w:lineRule="atLeast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文件递交处：福建省肿瘤医院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网络技术中心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1" w:hRule="atLeast"/>
        </w:trPr>
        <w:tc>
          <w:tcPr>
            <w:tcW w:w="9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15" w:lineRule="atLeast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77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15" w:lineRule="atLeast"/>
              <w:jc w:val="both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上述时间、地点如有变动，以单位届时通知为准。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90" w:hRule="atLeast"/>
        </w:trPr>
        <w:tc>
          <w:tcPr>
            <w:tcW w:w="9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15" w:lineRule="atLeas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77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wordWrap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2"/>
                <w:szCs w:val="32"/>
                <w:shd w:val="clear" w:color="auto" w:fill="FFFFFF"/>
              </w:rPr>
              <w:t>采购报名、采购调研等采购过程中有任何异议，可联系我院监督科室。电话：83660063-8407；83660063-8467。</w:t>
            </w:r>
          </w:p>
        </w:tc>
      </w:tr>
    </w:tbl>
    <w:p>
      <w:pPr>
        <w:widowControl/>
        <w:shd w:val="clear" w:color="auto" w:fill="FFFFFF"/>
        <w:spacing w:line="336" w:lineRule="auto"/>
        <w:jc w:val="both"/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shd w:val="clear" w:color="auto" w:fill="FFFFFF"/>
        </w:rPr>
      </w:pPr>
    </w:p>
    <w:p>
      <w:pPr>
        <w:widowControl/>
        <w:shd w:val="clear" w:color="auto" w:fill="FFFFFF"/>
        <w:spacing w:line="336" w:lineRule="auto"/>
        <w:jc w:val="both"/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shd w:val="clear" w:color="auto" w:fill="FFFFFF"/>
        </w:rPr>
        <w:t>地　址： 福建省福州市福马路420号</w:t>
      </w: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shd w:val="clear" w:color="auto" w:fill="FFFFFF"/>
          <w:lang w:val="en-US" w:eastAsia="zh-CN"/>
        </w:rPr>
        <w:t xml:space="preserve"> </w:t>
      </w:r>
    </w:p>
    <w:p>
      <w:pPr>
        <w:widowControl/>
        <w:shd w:val="clear" w:color="auto" w:fill="FFFFFF"/>
        <w:spacing w:line="336" w:lineRule="auto"/>
        <w:ind w:left="1260" w:leftChars="0" w:firstLine="420" w:firstLineChars="0"/>
        <w:jc w:val="both"/>
        <w:rPr>
          <w:rFonts w:hint="default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shd w:val="clear" w:color="auto" w:fill="FFFFFF"/>
          <w:lang w:val="en-US" w:eastAsia="zh-CN"/>
        </w:rPr>
        <w:t>福建</w:t>
      </w: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shd w:val="clear" w:color="auto" w:fill="FFFFFF"/>
        </w:rPr>
        <w:t>省肿瘤医院</w:t>
      </w: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shd w:val="clear" w:color="auto" w:fill="FFFFFF"/>
          <w:lang w:val="en-US" w:eastAsia="zh-CN"/>
        </w:rPr>
        <w:t>科研楼四楼网络技术中心</w:t>
      </w:r>
    </w:p>
    <w:p>
      <w:pPr>
        <w:widowControl/>
        <w:shd w:val="clear" w:color="auto" w:fill="FFFFFF"/>
        <w:spacing w:line="440" w:lineRule="atLeast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shd w:val="clear" w:color="auto" w:fill="FFFFFF"/>
        </w:rPr>
        <w:t>邮　编： 350014　 </w:t>
      </w:r>
    </w:p>
    <w:p>
      <w:pPr>
        <w:widowControl/>
        <w:shd w:val="clear" w:color="auto" w:fill="FFFFFF"/>
        <w:spacing w:line="440" w:lineRule="atLeast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shd w:val="clear" w:color="auto" w:fill="FFFFFF"/>
          <w:lang w:val="en-US" w:eastAsia="zh-CN"/>
        </w:rPr>
        <w:t>报名联系</w:t>
      </w: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shd w:val="clear" w:color="auto" w:fill="FFFFFF"/>
        </w:rPr>
        <w:t>电话： 0591-83660063-8822</w:t>
      </w:r>
    </w:p>
    <w:p>
      <w:pPr>
        <w:widowControl/>
        <w:shd w:val="clear" w:color="auto" w:fill="FFFFFF"/>
        <w:spacing w:line="440" w:lineRule="atLeast"/>
        <w:jc w:val="both"/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shd w:val="clear" w:color="auto" w:fill="FFFFFF"/>
        </w:rPr>
        <w:t xml:space="preserve">联系人： </w:t>
      </w: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shd w:val="clear" w:color="auto" w:fill="FFFFFF"/>
          <w:lang w:val="en-US" w:eastAsia="zh-CN"/>
        </w:rPr>
        <w:t>金 工</w:t>
      </w:r>
    </w:p>
    <w:p>
      <w:pPr>
        <w:pStyle w:val="1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page"/>
      </w:r>
    </w:p>
    <w:p>
      <w:pPr>
        <w:widowControl/>
        <w:shd w:val="clear" w:color="auto" w:fill="FFFFFF"/>
        <w:wordWrap/>
        <w:adjustRightInd w:val="0"/>
        <w:snapToGrid w:val="0"/>
        <w:spacing w:line="240" w:lineRule="auto"/>
        <w:ind w:firstLine="420" w:firstLineChars="0"/>
        <w:jc w:val="center"/>
        <w:textAlignment w:val="auto"/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shd w:val="clear" w:color="auto" w:fill="FFFFFF"/>
          <w:lang w:val="en-US" w:eastAsia="zh-CN"/>
        </w:rPr>
        <w:t>第二部分 具体要求</w:t>
      </w:r>
    </w:p>
    <w:p>
      <w:pPr>
        <w:widowControl/>
        <w:shd w:val="clear" w:color="auto" w:fill="FFFFFF"/>
        <w:spacing w:line="440" w:lineRule="atLeast"/>
        <w:jc w:val="both"/>
        <w:rPr>
          <w:rFonts w:hint="eastAsia" w:ascii="仿宋_GB2312" w:hAnsi="仿宋_GB2312" w:eastAsia="仿宋_GB2312" w:cs="仿宋_GB2312"/>
          <w:b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color w:val="000000"/>
          <w:kern w:val="0"/>
          <w:sz w:val="32"/>
          <w:szCs w:val="32"/>
          <w:shd w:val="clear" w:color="auto" w:fill="FFFFFF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b/>
          <w:color w:val="000000"/>
          <w:kern w:val="0"/>
          <w:sz w:val="32"/>
          <w:szCs w:val="32"/>
          <w:shd w:val="clear" w:color="auto" w:fill="FFFFFF"/>
        </w:rPr>
        <w:t>采购内容</w:t>
      </w:r>
    </w:p>
    <w:tbl>
      <w:tblPr>
        <w:tblpPr w:leftFromText="180" w:rightFromText="180" w:vertAnchor="text" w:horzAnchor="page" w:tblpX="1562" w:tblpY="283"/>
        <w:tblOverlap w:val="never"/>
        <w:tblW w:w="935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8"/>
        <w:gridCol w:w="3937"/>
        <w:gridCol w:w="1590"/>
        <w:gridCol w:w="189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938" w:type="dxa"/>
            <w:vAlign w:val="center"/>
          </w:tcPr>
          <w:p>
            <w:pPr>
              <w:widowControl/>
              <w:spacing w:afterLines="5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合同包</w:t>
            </w:r>
          </w:p>
        </w:tc>
        <w:tc>
          <w:tcPr>
            <w:tcW w:w="3937" w:type="dxa"/>
            <w:vAlign w:val="center"/>
          </w:tcPr>
          <w:p>
            <w:pPr>
              <w:widowControl/>
              <w:spacing w:afterLines="5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</w:rPr>
              <w:t>名 称</w:t>
            </w:r>
          </w:p>
        </w:tc>
        <w:tc>
          <w:tcPr>
            <w:tcW w:w="1590" w:type="dxa"/>
            <w:vAlign w:val="center"/>
          </w:tcPr>
          <w:p>
            <w:pPr>
              <w:widowControl/>
              <w:spacing w:afterLines="5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</w:rPr>
              <w:t>数量</w:t>
            </w:r>
          </w:p>
        </w:tc>
        <w:tc>
          <w:tcPr>
            <w:tcW w:w="1894" w:type="dxa"/>
            <w:vAlign w:val="center"/>
          </w:tcPr>
          <w:p>
            <w:pPr>
              <w:widowControl/>
              <w:spacing w:afterLines="5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</w:rPr>
              <w:t>预算（万元）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1938" w:type="dxa"/>
            <w:vAlign w:val="center"/>
          </w:tcPr>
          <w:p>
            <w:pPr>
              <w:widowControl/>
              <w:spacing w:afterLines="5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一）</w:t>
            </w:r>
          </w:p>
        </w:tc>
        <w:tc>
          <w:tcPr>
            <w:tcW w:w="3937" w:type="dxa"/>
            <w:vAlign w:val="center"/>
          </w:tcPr>
          <w:p>
            <w:pPr>
              <w:numPr>
                <w:numId w:val="0"/>
              </w:numPr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  <w:lang w:val="en-US" w:eastAsia="zh-CN"/>
              </w:rPr>
              <w:t xml:space="preserve"> 动物中心全流程管理平台</w:t>
            </w:r>
          </w:p>
        </w:tc>
        <w:tc>
          <w:tcPr>
            <w:tcW w:w="1590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1</w:t>
            </w:r>
          </w:p>
        </w:tc>
        <w:tc>
          <w:tcPr>
            <w:tcW w:w="1894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48</w:t>
            </w:r>
          </w:p>
        </w:tc>
      </w:tr>
    </w:tbl>
    <w:p>
      <w:pPr>
        <w:keepNext/>
        <w:widowControl/>
        <w:numPr>
          <w:ilvl w:val="0"/>
          <w:numId w:val="1"/>
        </w:numPr>
        <w:shd w:val="clear" w:color="auto" w:fill="FFFFFF"/>
        <w:autoSpaceDE w:val="0"/>
        <w:spacing w:before="120" w:after="120"/>
        <w:ind w:leftChars="0"/>
        <w:jc w:val="both"/>
        <w:rPr>
          <w:rFonts w:hint="eastAsia" w:ascii="仿宋_GB2312" w:hAnsi="仿宋_GB2312" w:eastAsia="仿宋_GB2312" w:cs="仿宋_GB2312"/>
          <w:b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color w:val="000000"/>
          <w:kern w:val="0"/>
          <w:sz w:val="32"/>
          <w:szCs w:val="32"/>
          <w:shd w:val="clear" w:color="auto" w:fill="FFFFFF"/>
        </w:rPr>
        <w:t>技术功能及服务要求</w:t>
      </w:r>
    </w:p>
    <w:p>
      <w:pPr>
        <w:widowControl w:val="0"/>
        <w:numPr>
          <w:numId w:val="0"/>
        </w:numPr>
        <w:wordWrap/>
        <w:adjustRightInd/>
        <w:snapToGrid/>
        <w:spacing w:before="0" w:after="0" w:line="590" w:lineRule="exact"/>
        <w:ind w:left="0" w:leftChars="0" w:right="0" w:firstLine="56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cs="黑体"/>
          <w:b w:val="0"/>
          <w:bCs w:val="0"/>
          <w:kern w:val="2"/>
          <w:sz w:val="28"/>
          <w:szCs w:val="28"/>
          <w:lang w:val="en-US" w:eastAsia="zh-CN" w:bidi="ar-SA"/>
        </w:rPr>
        <w:t>根据最新</w:t>
      </w:r>
      <w:r>
        <w:rPr>
          <w:rFonts w:hint="eastAsia" w:ascii="Calibri" w:hAnsi="Calibri" w:eastAsia="宋体" w:cs="黑体"/>
          <w:b w:val="0"/>
          <w:bCs w:val="0"/>
          <w:kern w:val="2"/>
          <w:sz w:val="28"/>
          <w:szCs w:val="28"/>
          <w:lang w:val="en-US" w:eastAsia="zh-CN" w:bidi="ar-SA"/>
        </w:rPr>
        <w:t>国家标准</w:t>
      </w:r>
      <w:r>
        <w:rPr>
          <w:rFonts w:hint="eastAsia" w:cs="黑体"/>
          <w:b w:val="0"/>
          <w:bCs w:val="0"/>
          <w:kern w:val="2"/>
          <w:sz w:val="28"/>
          <w:szCs w:val="28"/>
          <w:lang w:val="en-US" w:eastAsia="zh-CN" w:bidi="ar-SA"/>
        </w:rPr>
        <w:t>，建设实验动物信息管理系统，</w:t>
      </w:r>
      <w:r>
        <w:rPr>
          <w:rFonts w:hint="eastAsia" w:ascii="Calibri" w:hAnsi="Calibri" w:eastAsia="宋体" w:cs="黑体"/>
          <w:b w:val="0"/>
          <w:bCs w:val="0"/>
          <w:kern w:val="2"/>
          <w:sz w:val="28"/>
          <w:szCs w:val="28"/>
          <w:lang w:val="en-US" w:eastAsia="zh-CN" w:bidi="ar-SA"/>
        </w:rPr>
        <w:t>实现动物中心的实验动物管理</w:t>
      </w:r>
      <w:r>
        <w:rPr>
          <w:rFonts w:hint="eastAsia" w:cs="黑体"/>
          <w:b w:val="0"/>
          <w:bCs w:val="0"/>
          <w:kern w:val="2"/>
          <w:sz w:val="28"/>
          <w:szCs w:val="28"/>
          <w:lang w:val="en-US" w:eastAsia="zh-CN" w:bidi="ar-SA"/>
        </w:rPr>
        <w:t>、</w:t>
      </w:r>
      <w:r>
        <w:rPr>
          <w:rFonts w:hint="eastAsia" w:ascii="Calibri" w:hAnsi="Calibri" w:eastAsia="宋体" w:cs="黑体"/>
          <w:b w:val="0"/>
          <w:bCs w:val="0"/>
          <w:kern w:val="2"/>
          <w:sz w:val="28"/>
          <w:szCs w:val="28"/>
          <w:lang w:val="en-US" w:eastAsia="zh-CN" w:bidi="ar-SA"/>
        </w:rPr>
        <w:t>笼位管理</w:t>
      </w:r>
      <w:r>
        <w:rPr>
          <w:rFonts w:hint="eastAsia" w:cs="黑体"/>
          <w:b w:val="0"/>
          <w:bCs w:val="0"/>
          <w:kern w:val="2"/>
          <w:sz w:val="28"/>
          <w:szCs w:val="28"/>
          <w:lang w:val="en-US" w:eastAsia="zh-CN" w:bidi="ar-SA"/>
        </w:rPr>
        <w:t>、</w:t>
      </w:r>
      <w:r>
        <w:rPr>
          <w:rFonts w:hint="eastAsia" w:ascii="Calibri" w:hAnsi="Calibri" w:eastAsia="宋体" w:cs="黑体"/>
          <w:b w:val="0"/>
          <w:bCs w:val="0"/>
          <w:kern w:val="2"/>
          <w:sz w:val="28"/>
          <w:szCs w:val="28"/>
          <w:lang w:val="en-US" w:eastAsia="zh-CN" w:bidi="ar-SA"/>
        </w:rPr>
        <w:t>伦理审查、设备仪器管理、技术服务管理</w:t>
      </w:r>
      <w:r>
        <w:rPr>
          <w:rFonts w:hint="eastAsia" w:cs="黑体"/>
          <w:b w:val="0"/>
          <w:bCs w:val="0"/>
          <w:kern w:val="2"/>
          <w:sz w:val="28"/>
          <w:szCs w:val="28"/>
          <w:lang w:val="en-US" w:eastAsia="zh-CN" w:bidi="ar-SA"/>
        </w:rPr>
        <w:t>、</w:t>
      </w:r>
      <w:r>
        <w:rPr>
          <w:rFonts w:hint="eastAsia" w:ascii="Calibri" w:hAnsi="Calibri" w:eastAsia="宋体" w:cs="黑体"/>
          <w:b w:val="0"/>
          <w:bCs w:val="0"/>
          <w:kern w:val="2"/>
          <w:sz w:val="28"/>
          <w:szCs w:val="28"/>
          <w:lang w:val="en-US" w:eastAsia="zh-CN" w:bidi="ar-SA"/>
        </w:rPr>
        <w:t>门禁管控、自动计费、数据统计</w:t>
      </w:r>
      <w:r>
        <w:rPr>
          <w:rFonts w:hint="eastAsia" w:cs="黑体"/>
          <w:b w:val="0"/>
          <w:bCs w:val="0"/>
          <w:kern w:val="2"/>
          <w:sz w:val="28"/>
          <w:szCs w:val="28"/>
          <w:lang w:val="en-US" w:eastAsia="zh-CN" w:bidi="ar-SA"/>
        </w:rPr>
        <w:t>、</w:t>
      </w:r>
      <w:r>
        <w:rPr>
          <w:rFonts w:hint="eastAsia" w:ascii="Calibri" w:hAnsi="Calibri" w:eastAsia="宋体" w:cs="黑体"/>
          <w:b w:val="0"/>
          <w:bCs w:val="0"/>
          <w:kern w:val="2"/>
          <w:sz w:val="28"/>
          <w:szCs w:val="28"/>
          <w:lang w:val="en-US" w:eastAsia="zh-CN" w:bidi="ar-SA"/>
        </w:rPr>
        <w:t>信息公开、人员培训等功能</w:t>
      </w:r>
      <w:r>
        <w:rPr>
          <w:rFonts w:hint="eastAsia" w:cs="黑体"/>
          <w:b w:val="0"/>
          <w:bCs w:val="0"/>
          <w:kern w:val="2"/>
          <w:sz w:val="28"/>
          <w:szCs w:val="28"/>
          <w:lang w:val="en-US" w:eastAsia="zh-CN" w:bidi="ar-SA"/>
        </w:rPr>
        <w:t>。同时，</w:t>
      </w:r>
      <w:r>
        <w:rPr>
          <w:rFonts w:hint="eastAsia" w:ascii="Calibri" w:hAnsi="Calibri" w:eastAsia="宋体" w:cs="黑体"/>
          <w:b w:val="0"/>
          <w:bCs w:val="0"/>
          <w:kern w:val="2"/>
          <w:sz w:val="28"/>
          <w:szCs w:val="28"/>
          <w:lang w:val="en-US" w:eastAsia="zh-CN" w:bidi="ar-SA"/>
        </w:rPr>
        <w:t>为</w:t>
      </w:r>
      <w:r>
        <w:rPr>
          <w:rFonts w:hint="eastAsia" w:cs="黑体"/>
          <w:b w:val="0"/>
          <w:bCs w:val="0"/>
          <w:kern w:val="2"/>
          <w:sz w:val="28"/>
          <w:szCs w:val="28"/>
          <w:lang w:val="en-US" w:eastAsia="zh-CN" w:bidi="ar-SA"/>
        </w:rPr>
        <w:t>医院</w:t>
      </w:r>
      <w:r>
        <w:rPr>
          <w:rFonts w:hint="eastAsia" w:ascii="Calibri" w:hAnsi="Calibri" w:eastAsia="宋体" w:cs="黑体"/>
          <w:b w:val="0"/>
          <w:bCs w:val="0"/>
          <w:kern w:val="2"/>
          <w:sz w:val="28"/>
          <w:szCs w:val="28"/>
          <w:lang w:val="en-US" w:eastAsia="zh-CN" w:bidi="ar-SA"/>
        </w:rPr>
        <w:t>科研人员提供方便快捷的平台服务，实现信息互动反馈及时，明细清晰，业务流程进展情况实时可查询，</w:t>
      </w:r>
      <w:r>
        <w:rPr>
          <w:rFonts w:hint="eastAsia" w:cs="黑体"/>
          <w:b w:val="0"/>
          <w:bCs w:val="0"/>
          <w:kern w:val="2"/>
          <w:sz w:val="28"/>
          <w:szCs w:val="28"/>
          <w:lang w:val="en-US" w:eastAsia="zh-CN" w:bidi="ar-SA"/>
        </w:rPr>
        <w:t>提高</w:t>
      </w:r>
      <w:r>
        <w:rPr>
          <w:rFonts w:hint="eastAsia" w:ascii="Calibri" w:hAnsi="Calibri" w:eastAsia="宋体" w:cs="黑体"/>
          <w:b w:val="0"/>
          <w:bCs w:val="0"/>
          <w:kern w:val="2"/>
          <w:sz w:val="28"/>
          <w:szCs w:val="28"/>
          <w:lang w:val="en-US" w:eastAsia="zh-CN" w:bidi="ar-SA"/>
        </w:rPr>
        <w:t>公共实验资源利用</w:t>
      </w:r>
      <w:r>
        <w:rPr>
          <w:rFonts w:hint="eastAsia" w:cs="黑体"/>
          <w:b w:val="0"/>
          <w:bCs w:val="0"/>
          <w:kern w:val="2"/>
          <w:sz w:val="28"/>
          <w:szCs w:val="28"/>
          <w:lang w:val="en-US" w:eastAsia="zh-CN" w:bidi="ar-SA"/>
        </w:rPr>
        <w:t>率</w:t>
      </w:r>
      <w:r>
        <w:rPr>
          <w:rFonts w:hint="eastAsia" w:ascii="Calibri" w:hAnsi="Calibri" w:eastAsia="宋体" w:cs="黑体"/>
          <w:b w:val="0"/>
          <w:bCs w:val="0"/>
          <w:kern w:val="2"/>
          <w:sz w:val="28"/>
          <w:szCs w:val="28"/>
          <w:lang w:val="en-US" w:eastAsia="zh-CN" w:bidi="ar-SA"/>
        </w:rPr>
        <w:t>，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为科研工作提供动物实验方面的有力支撑。</w:t>
      </w:r>
    </w:p>
    <w:p>
      <w:pPr>
        <w:pStyle w:val="10"/>
        <w:numPr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1、合同包（一）</w:t>
      </w:r>
    </w:p>
    <w:tbl>
      <w:tblPr>
        <w:tblW w:w="928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5"/>
        <w:gridCol w:w="1515"/>
        <w:gridCol w:w="66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9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</w:t>
            </w:r>
          </w:p>
        </w:tc>
        <w:tc>
          <w:tcPr>
            <w:tcW w:w="66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技术参数要求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7" w:hRule="exact"/>
        </w:trPr>
        <w:tc>
          <w:tcPr>
            <w:tcW w:w="1095" w:type="dxa"/>
            <w:vAlign w:val="center"/>
          </w:tcPr>
          <w:p>
            <w:pPr>
              <w:jc w:val="both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515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动物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伦理审查</w:t>
            </w: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管理</w:t>
            </w:r>
          </w:p>
        </w:tc>
        <w:tc>
          <w:tcPr>
            <w:tcW w:w="6670" w:type="dxa"/>
            <w:vAlign w:val="center"/>
          </w:tcPr>
          <w:p>
            <w:pPr>
              <w:pStyle w:val="15"/>
              <w:numPr>
                <w:ilvl w:val="0"/>
                <w:numId w:val="2"/>
              </w:numPr>
              <w:spacing w:after="150" w:line="240" w:lineRule="auto"/>
              <w:ind w:left="425" w:leftChars="0" w:hanging="425" w:firstLineChars="0"/>
              <w:jc w:val="both"/>
              <w:rPr>
                <w:rFonts w:hint="eastAsia" w:ascii="宋体" w:hAnsi="宋体" w:cs="宋体"/>
                <w:color w:val="auto"/>
                <w:kern w:val="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4"/>
                <w:highlight w:val="none"/>
                <w:lang w:val="en-US" w:eastAsia="zh-CN"/>
              </w:rPr>
              <w:t>具备动物在线伦理申请-审批-文档生成业务流程，动物伦理表单、审批流程可按需订制；可自动添加动物伦理受理编号、审批编号，</w:t>
            </w:r>
            <w:bookmarkStart w:id="0" w:name="OLE_LINK5"/>
            <w:r>
              <w:rPr>
                <w:rFonts w:hint="eastAsia" w:ascii="宋体" w:hAnsi="宋体" w:cs="宋体"/>
                <w:color w:val="auto"/>
                <w:kern w:val="2"/>
                <w:sz w:val="24"/>
                <w:highlight w:val="none"/>
                <w:lang w:val="en-US" w:eastAsia="zh-CN"/>
              </w:rPr>
              <w:t>支持电子签字及印章功能</w:t>
            </w:r>
            <w:bookmarkEnd w:id="0"/>
            <w:r>
              <w:rPr>
                <w:rFonts w:hint="eastAsia" w:ascii="宋体" w:hAnsi="宋体" w:cs="宋体"/>
                <w:color w:val="auto"/>
                <w:kern w:val="2"/>
                <w:sz w:val="24"/>
                <w:highlight w:val="none"/>
                <w:lang w:val="en-US" w:eastAsia="zh-CN"/>
              </w:rPr>
              <w:t>，并能自动生成固定格式的PDF文档，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highlight w:val="none"/>
                <w:lang w:eastAsia="zh-CN"/>
              </w:rPr>
              <w:t>可</w:t>
            </w:r>
            <w:r>
              <w:rPr>
                <w:rFonts w:hint="eastAsia" w:ascii="宋体" w:hAnsi="宋体" w:cs="宋体"/>
                <w:color w:val="auto"/>
                <w:kern w:val="2"/>
                <w:sz w:val="24"/>
                <w:highlight w:val="none"/>
                <w:lang w:val="en-US" w:eastAsia="zh-CN"/>
              </w:rPr>
              <w:t>按条件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highlight w:val="none"/>
                <w:lang w:eastAsia="zh-CN"/>
              </w:rPr>
              <w:t>下载</w:t>
            </w:r>
            <w:r>
              <w:rPr>
                <w:rFonts w:hint="eastAsia" w:ascii="宋体" w:hAnsi="宋体" w:cs="宋体"/>
                <w:color w:val="auto"/>
                <w:kern w:val="2"/>
                <w:sz w:val="24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highlight w:val="none"/>
                <w:lang w:eastAsia="zh-CN"/>
              </w:rPr>
              <w:t>导出和打印。</w:t>
            </w:r>
          </w:p>
          <w:p>
            <w:pPr>
              <w:pStyle w:val="15"/>
              <w:numPr>
                <w:ilvl w:val="0"/>
                <w:numId w:val="2"/>
              </w:numPr>
              <w:spacing w:after="150" w:line="240" w:lineRule="auto"/>
              <w:ind w:left="425" w:leftChars="0" w:hanging="425" w:firstLineChars="0"/>
              <w:jc w:val="both"/>
              <w:rPr>
                <w:rFonts w:hint="eastAsia" w:ascii="宋体" w:hAnsi="宋体" w:cs="宋体"/>
                <w:color w:val="auto"/>
                <w:kern w:val="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4"/>
                <w:highlight w:val="none"/>
                <w:lang w:val="en-US" w:eastAsia="zh-CN"/>
              </w:rPr>
              <w:t>动物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highlight w:val="none"/>
                <w:lang w:eastAsia="zh-CN"/>
              </w:rPr>
              <w:t>伦理审查</w:t>
            </w:r>
            <w:r>
              <w:rPr>
                <w:rFonts w:hint="eastAsia" w:ascii="宋体" w:hAnsi="宋体" w:cs="宋体"/>
                <w:color w:val="auto"/>
                <w:kern w:val="2"/>
                <w:sz w:val="24"/>
                <w:highlight w:val="none"/>
                <w:lang w:val="en-US" w:eastAsia="zh-CN"/>
              </w:rPr>
              <w:t>可与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highlight w:val="none"/>
                <w:lang w:eastAsia="zh-CN"/>
              </w:rPr>
              <w:t>动物订购</w:t>
            </w:r>
            <w:r>
              <w:rPr>
                <w:rFonts w:hint="eastAsia" w:ascii="宋体" w:hAnsi="宋体" w:cs="宋体"/>
                <w:color w:val="auto"/>
                <w:kern w:val="2"/>
                <w:sz w:val="24"/>
                <w:highlight w:val="none"/>
                <w:lang w:val="en-US" w:eastAsia="zh-CN"/>
              </w:rPr>
              <w:t>关联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highlight w:val="none"/>
                <w:lang w:eastAsia="zh-CN"/>
              </w:rPr>
              <w:t>，自动核对动物订购</w:t>
            </w:r>
            <w:r>
              <w:rPr>
                <w:rFonts w:hint="eastAsia" w:ascii="宋体" w:hAnsi="宋体" w:cs="宋体"/>
                <w:color w:val="auto"/>
                <w:kern w:val="2"/>
                <w:sz w:val="24"/>
                <w:highlight w:val="none"/>
                <w:lang w:val="en-US" w:eastAsia="zh-CN"/>
              </w:rPr>
              <w:t>情况及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highlight w:val="none"/>
                <w:lang w:eastAsia="zh-CN"/>
              </w:rPr>
              <w:t>相关</w:t>
            </w:r>
            <w:r>
              <w:rPr>
                <w:rFonts w:hint="eastAsia" w:ascii="宋体" w:hAnsi="宋体" w:cs="宋体"/>
                <w:color w:val="auto"/>
                <w:kern w:val="2"/>
                <w:sz w:val="24"/>
                <w:highlight w:val="none"/>
                <w:lang w:val="en-US" w:eastAsia="zh-CN"/>
              </w:rPr>
              <w:t>动物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highlight w:val="none"/>
                <w:lang w:eastAsia="zh-CN"/>
              </w:rPr>
              <w:t>伦理</w:t>
            </w:r>
            <w:r>
              <w:rPr>
                <w:rFonts w:hint="eastAsia" w:ascii="宋体" w:hAnsi="宋体" w:cs="宋体"/>
                <w:color w:val="auto"/>
                <w:kern w:val="2"/>
                <w:sz w:val="24"/>
                <w:highlight w:val="none"/>
                <w:lang w:val="en-US" w:eastAsia="zh-CN"/>
              </w:rPr>
              <w:t>内容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highlight w:val="none"/>
                <w:lang w:eastAsia="zh-CN"/>
              </w:rPr>
              <w:t>，包括实验动物的品种品系、规格、数量等；同一份</w:t>
            </w:r>
            <w:r>
              <w:rPr>
                <w:rFonts w:hint="eastAsia" w:ascii="宋体" w:hAnsi="宋体" w:cs="宋体"/>
                <w:color w:val="auto"/>
                <w:kern w:val="2"/>
                <w:sz w:val="24"/>
                <w:highlight w:val="none"/>
                <w:lang w:val="en-US" w:eastAsia="zh-CN"/>
              </w:rPr>
              <w:t>动物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highlight w:val="none"/>
                <w:lang w:eastAsia="zh-CN"/>
              </w:rPr>
              <w:t>伦理可进行多次动物订购，自动累计订购数量信息</w:t>
            </w:r>
            <w:r>
              <w:rPr>
                <w:rFonts w:hint="eastAsia" w:ascii="宋体" w:hAnsi="宋体" w:cs="宋体"/>
                <w:color w:val="auto"/>
                <w:kern w:val="2"/>
                <w:sz w:val="24"/>
                <w:highlight w:val="none"/>
                <w:lang w:eastAsia="zh-CN"/>
              </w:rPr>
              <w:t>；</w:t>
            </w:r>
            <w:r>
              <w:rPr>
                <w:rFonts w:hint="eastAsia" w:ascii="宋体" w:hAnsi="宋体" w:cs="宋体"/>
                <w:color w:val="auto"/>
                <w:kern w:val="2"/>
                <w:sz w:val="24"/>
                <w:highlight w:val="none"/>
                <w:lang w:val="en-US" w:eastAsia="zh-CN"/>
              </w:rPr>
              <w:t>支持动物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highlight w:val="none"/>
                <w:lang w:eastAsia="zh-CN"/>
              </w:rPr>
              <w:t>伦理审查</w:t>
            </w:r>
            <w:r>
              <w:rPr>
                <w:rFonts w:hint="eastAsia" w:ascii="宋体" w:hAnsi="宋体" w:cs="宋体"/>
                <w:color w:val="auto"/>
                <w:kern w:val="2"/>
                <w:sz w:val="24"/>
                <w:highlight w:val="none"/>
                <w:lang w:val="en-US" w:eastAsia="zh-CN"/>
              </w:rPr>
              <w:t>与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highlight w:val="none"/>
                <w:lang w:eastAsia="zh-CN"/>
              </w:rPr>
              <w:t>人员入室申请</w:t>
            </w:r>
            <w:r>
              <w:rPr>
                <w:rFonts w:hint="eastAsia" w:ascii="宋体" w:hAnsi="宋体" w:cs="宋体"/>
                <w:color w:val="auto"/>
                <w:kern w:val="2"/>
                <w:sz w:val="24"/>
                <w:highlight w:val="none"/>
                <w:lang w:val="en-US" w:eastAsia="zh-CN"/>
              </w:rPr>
              <w:t>关联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highlight w:val="none"/>
                <w:lang w:eastAsia="zh-CN"/>
              </w:rPr>
              <w:t>，自动核对实验人员入室申请资质与相关</w:t>
            </w:r>
            <w:r>
              <w:rPr>
                <w:rFonts w:hint="eastAsia" w:ascii="宋体" w:hAnsi="宋体" w:cs="宋体"/>
                <w:color w:val="auto"/>
                <w:kern w:val="2"/>
                <w:sz w:val="24"/>
                <w:highlight w:val="none"/>
                <w:lang w:val="en-US" w:eastAsia="zh-CN"/>
              </w:rPr>
              <w:t>动物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highlight w:val="none"/>
                <w:lang w:eastAsia="zh-CN"/>
              </w:rPr>
              <w:t>伦理审批</w:t>
            </w:r>
            <w:r>
              <w:rPr>
                <w:rFonts w:hint="eastAsia" w:ascii="宋体" w:hAnsi="宋体" w:cs="宋体"/>
                <w:color w:val="auto"/>
                <w:kern w:val="2"/>
                <w:sz w:val="24"/>
                <w:highlight w:val="none"/>
                <w:lang w:val="en-US" w:eastAsia="zh-CN"/>
              </w:rPr>
              <w:t>内容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highlight w:val="none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6" w:hRule="exact"/>
        </w:trPr>
        <w:tc>
          <w:tcPr>
            <w:tcW w:w="1095" w:type="dxa"/>
            <w:vAlign w:val="center"/>
          </w:tcPr>
          <w:p>
            <w:pPr>
              <w:jc w:val="both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515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在线培训考试</w:t>
            </w:r>
          </w:p>
        </w:tc>
        <w:tc>
          <w:tcPr>
            <w:tcW w:w="6670" w:type="dxa"/>
            <w:vAlign w:val="center"/>
          </w:tcPr>
          <w:p>
            <w:pPr>
              <w:pStyle w:val="15"/>
              <w:numPr>
                <w:ilvl w:val="0"/>
                <w:numId w:val="3"/>
              </w:numPr>
              <w:spacing w:after="150" w:line="240" w:lineRule="auto"/>
              <w:ind w:left="425" w:leftChars="0" w:hanging="425" w:firstLineChars="0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highlight w:val="none"/>
                <w:lang w:eastAsia="zh-CN"/>
              </w:rPr>
              <w:t>可以提供</w:t>
            </w:r>
            <w:r>
              <w:rPr>
                <w:rFonts w:hint="eastAsia" w:ascii="宋体" w:hAnsi="宋体" w:cs="宋体"/>
                <w:color w:val="auto"/>
                <w:kern w:val="2"/>
                <w:sz w:val="24"/>
                <w:highlight w:val="none"/>
                <w:lang w:val="en-US" w:eastAsia="zh-CN"/>
              </w:rPr>
              <w:t>培训资料（含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highlight w:val="none"/>
                <w:lang w:eastAsia="zh-CN"/>
              </w:rPr>
              <w:t>文档、图片、视频</w:t>
            </w:r>
            <w:r>
              <w:rPr>
                <w:rFonts w:hint="eastAsia" w:ascii="宋体" w:hAnsi="宋体" w:cs="宋体"/>
                <w:color w:val="auto"/>
                <w:kern w:val="2"/>
                <w:sz w:val="24"/>
                <w:highlight w:val="none"/>
                <w:lang w:val="en-US" w:eastAsia="zh-CN"/>
              </w:rPr>
              <w:t>等）及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highlight w:val="none"/>
                <w:lang w:eastAsia="zh-CN"/>
              </w:rPr>
              <w:t>考试题目的</w:t>
            </w:r>
            <w:r>
              <w:rPr>
                <w:rFonts w:hint="eastAsia" w:ascii="宋体" w:hAnsi="宋体" w:cs="宋体"/>
                <w:color w:val="auto"/>
                <w:kern w:val="2"/>
                <w:sz w:val="24"/>
                <w:highlight w:val="none"/>
                <w:lang w:eastAsia="zh-CN"/>
              </w:rPr>
              <w:t>在</w:t>
            </w:r>
            <w:r>
              <w:rPr>
                <w:rFonts w:hint="eastAsia" w:ascii="宋体" w:hAnsi="宋体" w:cs="宋体"/>
                <w:color w:val="auto"/>
                <w:kern w:val="2"/>
                <w:sz w:val="24"/>
                <w:highlight w:val="none"/>
                <w:lang w:val="en-US" w:eastAsia="zh-CN"/>
              </w:rPr>
              <w:t>线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highlight w:val="none"/>
                <w:lang w:eastAsia="zh-CN"/>
              </w:rPr>
              <w:t>观看</w:t>
            </w:r>
            <w:r>
              <w:rPr>
                <w:rFonts w:hint="eastAsia" w:ascii="宋体" w:hAnsi="宋体" w:cs="宋体"/>
                <w:color w:val="auto"/>
                <w:kern w:val="2"/>
                <w:sz w:val="24"/>
                <w:highlight w:val="none"/>
                <w:lang w:eastAsia="zh-CN"/>
              </w:rPr>
              <w:t>；</w:t>
            </w:r>
            <w:r>
              <w:rPr>
                <w:rFonts w:hint="eastAsia" w:ascii="宋体" w:hAnsi="宋体" w:cs="宋体"/>
                <w:color w:val="auto"/>
                <w:kern w:val="2"/>
                <w:sz w:val="24"/>
                <w:highlight w:val="none"/>
                <w:lang w:val="en-US" w:eastAsia="zh-CN"/>
              </w:rPr>
              <w:t>提供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highlight w:val="none"/>
                <w:lang w:eastAsia="zh-CN"/>
              </w:rPr>
              <w:t>培训报名</w:t>
            </w:r>
            <w:r>
              <w:rPr>
                <w:rFonts w:hint="eastAsia" w:ascii="宋体" w:hAnsi="宋体" w:cs="宋体"/>
                <w:color w:val="auto"/>
                <w:kern w:val="2"/>
                <w:sz w:val="24"/>
                <w:highlight w:val="none"/>
                <w:lang w:val="en-US" w:eastAsia="zh-CN"/>
              </w:rPr>
              <w:t>功能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highlight w:val="none"/>
                <w:lang w:eastAsia="zh-CN"/>
              </w:rPr>
              <w:t>。</w:t>
            </w:r>
          </w:p>
          <w:p>
            <w:pPr>
              <w:pStyle w:val="15"/>
              <w:numPr>
                <w:ilvl w:val="0"/>
                <w:numId w:val="3"/>
              </w:numPr>
              <w:spacing w:after="150" w:line="240" w:lineRule="auto"/>
              <w:ind w:left="425" w:leftChars="0" w:hanging="425" w:firstLineChars="0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highlight w:val="none"/>
                <w:lang w:eastAsia="zh-CN"/>
              </w:rPr>
              <w:t>可</w:t>
            </w:r>
            <w:r>
              <w:rPr>
                <w:rFonts w:hint="eastAsia" w:ascii="宋体" w:hAnsi="宋体" w:cs="宋体"/>
                <w:color w:val="auto"/>
                <w:kern w:val="2"/>
                <w:sz w:val="24"/>
                <w:highlight w:val="none"/>
                <w:lang w:val="en-US" w:eastAsia="zh-CN"/>
              </w:rPr>
              <w:t>设置、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highlight w:val="none"/>
                <w:lang w:eastAsia="zh-CN"/>
              </w:rPr>
              <w:t>监控实验人员在线培训最低时长、或最少阅读</w:t>
            </w:r>
            <w:r>
              <w:rPr>
                <w:rFonts w:hint="eastAsia" w:ascii="宋体" w:hAnsi="宋体" w:cs="宋体"/>
                <w:color w:val="auto"/>
                <w:kern w:val="2"/>
                <w:sz w:val="24"/>
                <w:highlight w:val="none"/>
                <w:lang w:val="en-US" w:eastAsia="zh-CN"/>
              </w:rPr>
              <w:t>量等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highlight w:val="none"/>
                <w:lang w:eastAsia="zh-CN"/>
              </w:rPr>
              <w:t>。</w:t>
            </w:r>
            <w:r>
              <w:rPr>
                <w:rFonts w:hint="eastAsia" w:ascii="宋体" w:hAnsi="宋体" w:cs="宋体"/>
                <w:color w:val="auto"/>
                <w:kern w:val="2"/>
                <w:sz w:val="24"/>
                <w:highlight w:val="none"/>
                <w:lang w:val="en-US" w:eastAsia="zh-CN"/>
              </w:rPr>
              <w:t>培训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highlight w:val="none"/>
                <w:lang w:eastAsia="zh-CN"/>
              </w:rPr>
              <w:t>视频仅在线观看学习，具备防下载机制，具备自动水印防截屏及拍摄机制，水印自动添加本单位名称、用户账号及时间戳信息</w:t>
            </w:r>
            <w:r>
              <w:rPr>
                <w:rFonts w:hint="eastAsia" w:ascii="宋体" w:hAnsi="宋体" w:cs="宋体"/>
                <w:color w:val="auto"/>
                <w:kern w:val="2"/>
                <w:sz w:val="24"/>
                <w:highlight w:val="none"/>
                <w:lang w:val="en-US" w:eastAsia="zh-CN"/>
              </w:rPr>
              <w:t>等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highlight w:val="none"/>
                <w:lang w:eastAsia="zh-CN"/>
              </w:rPr>
              <w:t>。</w:t>
            </w:r>
          </w:p>
          <w:p>
            <w:pPr>
              <w:pStyle w:val="15"/>
              <w:numPr>
                <w:ilvl w:val="0"/>
                <w:numId w:val="3"/>
              </w:numPr>
              <w:spacing w:after="150" w:line="240" w:lineRule="auto"/>
              <w:ind w:left="425" w:leftChars="0" w:hanging="425" w:firstLineChars="0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4"/>
                <w:highlight w:val="none"/>
                <w:lang w:val="en-US" w:eastAsia="zh-CN"/>
              </w:rPr>
              <w:t>可提供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highlight w:val="none"/>
                <w:lang w:eastAsia="zh-CN"/>
              </w:rPr>
              <w:t>考试题目编辑</w:t>
            </w:r>
            <w:r>
              <w:rPr>
                <w:rFonts w:hint="eastAsia" w:ascii="宋体" w:hAnsi="宋体" w:cs="宋体"/>
                <w:color w:val="auto"/>
                <w:kern w:val="2"/>
                <w:sz w:val="24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highlight w:val="none"/>
                <w:lang w:eastAsia="zh-CN"/>
              </w:rPr>
              <w:t>上传</w:t>
            </w:r>
            <w:r>
              <w:rPr>
                <w:rFonts w:hint="eastAsia" w:ascii="宋体" w:hAnsi="宋体" w:cs="宋体"/>
                <w:color w:val="auto"/>
                <w:kern w:val="2"/>
                <w:sz w:val="24"/>
                <w:highlight w:val="none"/>
                <w:lang w:val="en-US" w:eastAsia="zh-CN"/>
              </w:rPr>
              <w:t>功能，支持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highlight w:val="none"/>
                <w:lang w:eastAsia="zh-CN"/>
              </w:rPr>
              <w:t>人工编辑</w:t>
            </w:r>
            <w:r>
              <w:rPr>
                <w:rFonts w:hint="eastAsia" w:ascii="宋体" w:hAnsi="宋体" w:cs="宋体"/>
                <w:color w:val="auto"/>
                <w:kern w:val="2"/>
                <w:sz w:val="24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highlight w:val="none"/>
                <w:lang w:eastAsia="zh-CN"/>
              </w:rPr>
              <w:t>制定规则智能生成试卷</w:t>
            </w:r>
            <w:r>
              <w:rPr>
                <w:rFonts w:hint="eastAsia" w:ascii="宋体" w:hAnsi="宋体" w:cs="宋体"/>
                <w:color w:val="auto"/>
                <w:kern w:val="2"/>
                <w:sz w:val="24"/>
                <w:highlight w:val="none"/>
                <w:lang w:eastAsia="zh-CN"/>
              </w:rPr>
              <w:t>；</w:t>
            </w:r>
            <w:r>
              <w:rPr>
                <w:rFonts w:hint="eastAsia" w:ascii="宋体" w:hAnsi="宋体" w:cs="宋体"/>
                <w:color w:val="auto"/>
                <w:kern w:val="2"/>
                <w:sz w:val="24"/>
                <w:highlight w:val="none"/>
                <w:lang w:val="en-US" w:eastAsia="zh-CN"/>
              </w:rPr>
              <w:t>支持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highlight w:val="none"/>
                <w:lang w:eastAsia="zh-CN"/>
              </w:rPr>
              <w:t>用户在线考试，考试结果自动评分</w:t>
            </w:r>
            <w:r>
              <w:rPr>
                <w:rFonts w:hint="eastAsia" w:ascii="宋体" w:hAnsi="宋体" w:cs="宋体"/>
                <w:color w:val="auto"/>
                <w:kern w:val="2"/>
                <w:sz w:val="24"/>
                <w:highlight w:val="none"/>
                <w:lang w:eastAsia="zh-CN"/>
              </w:rPr>
              <w:t>；</w:t>
            </w:r>
            <w:r>
              <w:rPr>
                <w:rFonts w:hint="eastAsia" w:ascii="宋体" w:hAnsi="宋体" w:cs="宋体"/>
                <w:color w:val="auto"/>
                <w:kern w:val="2"/>
                <w:sz w:val="24"/>
                <w:highlight w:val="none"/>
                <w:lang w:val="en-US" w:eastAsia="zh-CN"/>
              </w:rPr>
              <w:t>支持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highlight w:val="none"/>
                <w:lang w:eastAsia="zh-CN"/>
              </w:rPr>
              <w:t>线下培训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highlight w:val="none"/>
                <w:lang w:val="en-US" w:eastAsia="zh-CN"/>
              </w:rPr>
              <w:t>情况</w:t>
            </w:r>
            <w:r>
              <w:rPr>
                <w:rFonts w:hint="eastAsia" w:ascii="宋体" w:hAnsi="宋体" w:cs="宋体"/>
                <w:color w:val="auto"/>
                <w:kern w:val="2"/>
                <w:sz w:val="24"/>
                <w:highlight w:val="none"/>
                <w:lang w:val="en-US" w:eastAsia="zh-CN"/>
              </w:rPr>
              <w:t>及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highlight w:val="none"/>
                <w:lang w:eastAsia="zh-CN"/>
              </w:rPr>
              <w:t>考试结果与人员资质管理、门禁管理</w:t>
            </w:r>
            <w:r>
              <w:rPr>
                <w:rFonts w:hint="eastAsia" w:ascii="宋体" w:hAnsi="宋体" w:cs="宋体"/>
                <w:color w:val="auto"/>
                <w:kern w:val="2"/>
                <w:sz w:val="24"/>
                <w:highlight w:val="none"/>
                <w:lang w:val="en-US" w:eastAsia="zh-CN"/>
              </w:rPr>
              <w:t>相关联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highlight w:val="none"/>
                <w:lang w:eastAsia="zh-CN"/>
              </w:rPr>
              <w:t>，授予用户准入、使用仪器</w:t>
            </w:r>
            <w:r>
              <w:rPr>
                <w:rFonts w:hint="eastAsia" w:ascii="宋体" w:hAnsi="宋体" w:cs="宋体"/>
                <w:color w:val="auto"/>
                <w:kern w:val="2"/>
                <w:sz w:val="24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highlight w:val="none"/>
                <w:lang w:eastAsia="zh-CN"/>
              </w:rPr>
              <w:t>系统功能及开展实验项目的许可</w:t>
            </w:r>
            <w:r>
              <w:rPr>
                <w:rFonts w:hint="eastAsia" w:ascii="宋体" w:hAnsi="宋体" w:cs="宋体"/>
                <w:color w:val="auto"/>
                <w:kern w:val="2"/>
                <w:sz w:val="24"/>
                <w:highlight w:val="none"/>
                <w:lang w:eastAsia="zh-CN"/>
              </w:rPr>
              <w:t>，</w:t>
            </w:r>
            <w:bookmarkStart w:id="1" w:name="OLE_LINK4"/>
            <w:r>
              <w:rPr>
                <w:rFonts w:hint="eastAsia" w:ascii="宋体" w:hAnsi="宋体" w:cs="宋体"/>
                <w:color w:val="auto"/>
                <w:kern w:val="2"/>
                <w:sz w:val="24"/>
                <w:highlight w:val="none"/>
                <w:lang w:val="en-US" w:eastAsia="zh-CN"/>
              </w:rPr>
              <w:t>许可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highlight w:val="none"/>
                <w:lang w:eastAsia="zh-CN"/>
              </w:rPr>
              <w:t>证书格式按需定制</w:t>
            </w:r>
            <w:bookmarkEnd w:id="1"/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highlight w:val="none"/>
                <w:lang w:eastAsia="zh-CN"/>
              </w:rPr>
              <w:t>；</w:t>
            </w:r>
            <w:r>
              <w:rPr>
                <w:rFonts w:hint="eastAsia" w:ascii="宋体" w:hAnsi="宋体" w:cs="宋体"/>
                <w:color w:val="auto"/>
                <w:kern w:val="2"/>
                <w:sz w:val="24"/>
                <w:highlight w:val="none"/>
                <w:lang w:val="en-US" w:eastAsia="zh-CN"/>
              </w:rPr>
              <w:t>提供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highlight w:val="none"/>
                <w:lang w:eastAsia="zh-CN"/>
              </w:rPr>
              <w:t>相关考试题库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highlight w:val="none"/>
                <w:lang w:val="en-US" w:eastAsia="zh-CN"/>
              </w:rPr>
              <w:t>定期更新</w:t>
            </w:r>
            <w:r>
              <w:rPr>
                <w:rFonts w:hint="eastAsia" w:ascii="宋体" w:hAnsi="宋体" w:cs="宋体"/>
                <w:color w:val="auto"/>
                <w:kern w:val="2"/>
                <w:sz w:val="24"/>
                <w:highlight w:val="none"/>
                <w:lang w:val="en-US" w:eastAsia="zh-CN"/>
              </w:rPr>
              <w:t>服务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highlight w:val="none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2" w:hRule="exact"/>
        </w:trPr>
        <w:tc>
          <w:tcPr>
            <w:tcW w:w="1095" w:type="dxa"/>
            <w:vAlign w:val="center"/>
          </w:tcPr>
          <w:p>
            <w:pPr>
              <w:jc w:val="both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515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动物订购</w:t>
            </w:r>
          </w:p>
        </w:tc>
        <w:tc>
          <w:tcPr>
            <w:tcW w:w="6670" w:type="dxa"/>
            <w:vAlign w:val="center"/>
          </w:tcPr>
          <w:p>
            <w:pPr>
              <w:pStyle w:val="15"/>
              <w:spacing w:after="150" w:line="240" w:lineRule="auto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highlight w:val="none"/>
                <w:lang w:eastAsia="zh-CN"/>
              </w:rPr>
              <w:t>支持平台代购和实验人员自购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highlight w:val="none"/>
                <w:lang w:val="en-US" w:eastAsia="zh-CN"/>
              </w:rPr>
              <w:t>两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highlight w:val="none"/>
                <w:lang w:eastAsia="zh-CN"/>
              </w:rPr>
              <w:t>种模式</w:t>
            </w:r>
            <w:r>
              <w:rPr>
                <w:rFonts w:hint="eastAsia" w:ascii="宋体" w:hAnsi="宋体" w:cs="宋体"/>
                <w:color w:val="auto"/>
                <w:kern w:val="2"/>
                <w:sz w:val="24"/>
                <w:highlight w:val="none"/>
                <w:lang w:eastAsia="zh-CN"/>
              </w:rPr>
              <w:t>；</w:t>
            </w:r>
            <w:r>
              <w:rPr>
                <w:rFonts w:hint="eastAsia" w:ascii="宋体" w:hAnsi="宋体" w:cs="宋体"/>
                <w:color w:val="auto"/>
                <w:kern w:val="2"/>
                <w:sz w:val="24"/>
                <w:highlight w:val="none"/>
                <w:lang w:val="en-US" w:eastAsia="zh-CN"/>
              </w:rPr>
              <w:t>可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highlight w:val="none"/>
                <w:lang w:eastAsia="zh-CN"/>
              </w:rPr>
              <w:t>关联伦理审查，自动汇总生成格式化订单</w:t>
            </w:r>
            <w:r>
              <w:rPr>
                <w:rFonts w:hint="eastAsia" w:ascii="宋体" w:hAnsi="宋体" w:cs="宋体"/>
                <w:color w:val="auto"/>
                <w:kern w:val="2"/>
                <w:sz w:val="24"/>
                <w:highlight w:val="none"/>
                <w:lang w:eastAsia="zh-CN"/>
              </w:rPr>
              <w:t>；</w:t>
            </w:r>
            <w:r>
              <w:rPr>
                <w:rFonts w:hint="eastAsia" w:ascii="宋体" w:hAnsi="宋体" w:cs="宋体"/>
                <w:color w:val="auto"/>
                <w:kern w:val="2"/>
                <w:sz w:val="24"/>
                <w:highlight w:val="none"/>
                <w:lang w:val="en-US" w:eastAsia="zh-CN"/>
              </w:rPr>
              <w:t>支持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highlight w:val="none"/>
                <w:lang w:eastAsia="zh-CN"/>
              </w:rPr>
              <w:t>动物到货、入驻笼位</w:t>
            </w:r>
            <w:r>
              <w:rPr>
                <w:rFonts w:hint="eastAsia" w:ascii="宋体" w:hAnsi="宋体" w:cs="宋体"/>
                <w:color w:val="auto"/>
                <w:kern w:val="2"/>
                <w:sz w:val="24"/>
                <w:highlight w:val="none"/>
                <w:lang w:val="en-US" w:eastAsia="zh-CN"/>
              </w:rPr>
              <w:t>管理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highlight w:val="none"/>
                <w:lang w:eastAsia="zh-CN"/>
              </w:rPr>
              <w:t>；</w:t>
            </w: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具备动物检疫管理、异常情况记录及自动推送至管理员的功能</w:t>
            </w:r>
            <w:r>
              <w:rPr>
                <w:rFonts w:hint="eastAsia" w:ascii="宋体" w:hAnsi="宋体" w:cs="宋体"/>
                <w:color w:val="auto"/>
                <w:kern w:val="2"/>
                <w:sz w:val="24"/>
                <w:highlight w:val="none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8" w:hRule="exact"/>
        </w:trPr>
        <w:tc>
          <w:tcPr>
            <w:tcW w:w="1095" w:type="dxa"/>
            <w:vAlign w:val="center"/>
          </w:tcPr>
          <w:p>
            <w:pPr>
              <w:jc w:val="both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515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笼位管理</w:t>
            </w:r>
          </w:p>
        </w:tc>
        <w:tc>
          <w:tcPr>
            <w:tcW w:w="6670" w:type="dxa"/>
            <w:vAlign w:val="center"/>
          </w:tcPr>
          <w:p>
            <w:pPr>
              <w:pStyle w:val="15"/>
              <w:numPr>
                <w:ilvl w:val="0"/>
                <w:numId w:val="4"/>
              </w:numPr>
              <w:spacing w:after="150" w:line="240" w:lineRule="auto"/>
              <w:ind w:left="425" w:hanging="425"/>
              <w:jc w:val="both"/>
              <w:rPr>
                <w:rFonts w:hint="eastAsia" w:ascii="宋体" w:hAnsi="宋体" w:cs="宋体"/>
                <w:color w:val="auto"/>
                <w:kern w:val="2"/>
                <w:sz w:val="24"/>
                <w:highlight w:val="none"/>
                <w:lang w:val="en-US" w:eastAsia="zh-CN"/>
              </w:rPr>
            </w:pPr>
            <w:bookmarkStart w:id="2" w:name="OLE_LINK3"/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highlight w:val="none"/>
                <w:lang w:val="en-US" w:eastAsia="zh-CN"/>
              </w:rPr>
              <w:t>具备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highlight w:val="none"/>
                <w:lang w:eastAsia="zh-CN"/>
              </w:rPr>
              <w:t>笼位设置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highlight w:val="none"/>
                <w:lang w:val="en-US" w:eastAsia="zh-CN"/>
              </w:rPr>
              <w:t>与显示</w:t>
            </w:r>
            <w:r>
              <w:rPr>
                <w:rFonts w:hint="eastAsia" w:ascii="宋体" w:hAnsi="宋体" w:cs="宋体"/>
                <w:color w:val="auto"/>
                <w:kern w:val="2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highlight w:val="none"/>
                <w:lang w:eastAsia="zh-CN"/>
              </w:rPr>
              <w:t>数字化形式及图形化形式</w:t>
            </w:r>
            <w:r>
              <w:rPr>
                <w:rFonts w:hint="eastAsia" w:ascii="宋体" w:hAnsi="宋体" w:cs="宋体"/>
                <w:color w:val="auto"/>
                <w:kern w:val="2"/>
                <w:sz w:val="24"/>
                <w:highlight w:val="none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highlight w:val="none"/>
                <w:lang w:val="en-US" w:eastAsia="zh-CN"/>
              </w:rPr>
              <w:t>功能，可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highlight w:val="none"/>
                <w:lang w:eastAsia="zh-CN"/>
              </w:rPr>
              <w:t>按</w:t>
            </w:r>
            <w:r>
              <w:rPr>
                <w:rFonts w:hint="eastAsia" w:ascii="宋体" w:hAnsi="宋体" w:cs="宋体"/>
                <w:color w:val="auto"/>
                <w:kern w:val="2"/>
                <w:sz w:val="24"/>
                <w:highlight w:val="none"/>
                <w:lang w:val="en-US" w:eastAsia="zh-CN"/>
              </w:rPr>
              <w:t>需求调整笼具数量</w:t>
            </w:r>
            <w:bookmarkStart w:id="3" w:name="OLE_LINK2"/>
            <w:r>
              <w:rPr>
                <w:rFonts w:hint="eastAsia" w:ascii="宋体" w:hAnsi="宋体" w:cs="宋体"/>
                <w:color w:val="auto"/>
                <w:kern w:val="2"/>
                <w:sz w:val="24"/>
                <w:highlight w:val="none"/>
                <w:lang w:val="en-US" w:eastAsia="zh-CN"/>
              </w:rPr>
              <w:t>、</w:t>
            </w:r>
            <w:bookmarkEnd w:id="3"/>
            <w:r>
              <w:rPr>
                <w:rFonts w:hint="eastAsia" w:ascii="宋体" w:hAnsi="宋体" w:cs="宋体"/>
                <w:color w:val="auto"/>
                <w:kern w:val="2"/>
                <w:sz w:val="24"/>
                <w:highlight w:val="none"/>
                <w:lang w:val="en-US" w:eastAsia="zh-CN"/>
              </w:rPr>
              <w:t>不同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highlight w:val="none"/>
                <w:lang w:eastAsia="zh-CN"/>
              </w:rPr>
              <w:t>规格笼具</w:t>
            </w:r>
            <w:r>
              <w:rPr>
                <w:rFonts w:hint="eastAsia" w:ascii="宋体" w:hAnsi="宋体" w:cs="宋体"/>
                <w:color w:val="auto"/>
                <w:kern w:val="2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auto"/>
                <w:kern w:val="2"/>
                <w:sz w:val="24"/>
                <w:highlight w:val="none"/>
                <w:lang w:val="en-US" w:eastAsia="zh-CN"/>
              </w:rPr>
              <w:t>含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highlight w:val="none"/>
                <w:lang w:val="en-US" w:eastAsia="zh-CN"/>
              </w:rPr>
              <w:t>旋转式微屏障、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highlight w:val="none"/>
                <w:lang w:eastAsia="zh-CN"/>
              </w:rPr>
              <w:t>IVC、平板架等</w:t>
            </w:r>
            <w:r>
              <w:rPr>
                <w:rFonts w:hint="eastAsia" w:ascii="宋体" w:hAnsi="宋体" w:cs="宋体"/>
                <w:color w:val="auto"/>
                <w:kern w:val="2"/>
                <w:sz w:val="24"/>
                <w:highlight w:val="none"/>
                <w:lang w:eastAsia="zh-CN"/>
              </w:rPr>
              <w:t>）；</w:t>
            </w:r>
            <w:r>
              <w:rPr>
                <w:rFonts w:hint="eastAsia" w:ascii="宋体" w:hAnsi="宋体" w:cs="宋体"/>
                <w:color w:val="auto"/>
                <w:kern w:val="2"/>
                <w:sz w:val="24"/>
                <w:highlight w:val="none"/>
                <w:lang w:val="en-US" w:eastAsia="zh-CN"/>
              </w:rPr>
              <w:t>支持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highlight w:val="none"/>
                <w:lang w:eastAsia="zh-CN"/>
              </w:rPr>
              <w:t>跨地区、跨建筑物管理，支持异地实验动物设施协同</w:t>
            </w:r>
            <w:r>
              <w:rPr>
                <w:rFonts w:hint="eastAsia" w:ascii="宋体" w:hAnsi="宋体" w:cs="宋体"/>
                <w:color w:val="auto"/>
                <w:kern w:val="2"/>
                <w:sz w:val="24"/>
                <w:highlight w:val="none"/>
                <w:lang w:val="en-US" w:eastAsia="zh-CN"/>
              </w:rPr>
              <w:t>管理</w:t>
            </w:r>
            <w:r>
              <w:rPr>
                <w:rFonts w:hint="eastAsia" w:ascii="宋体" w:hAnsi="宋体" w:cs="宋体"/>
                <w:color w:val="auto"/>
                <w:kern w:val="2"/>
                <w:sz w:val="24"/>
                <w:highlight w:val="none"/>
                <w:lang w:eastAsia="zh-CN"/>
              </w:rPr>
              <w:t>；</w:t>
            </w:r>
            <w:r>
              <w:rPr>
                <w:rFonts w:hint="eastAsia" w:ascii="宋体" w:hAnsi="宋体" w:cs="宋体"/>
                <w:color w:val="auto"/>
                <w:kern w:val="2"/>
                <w:sz w:val="24"/>
                <w:highlight w:val="none"/>
                <w:lang w:val="en-US" w:eastAsia="zh-CN"/>
              </w:rPr>
              <w:t>支持按需求统一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highlight w:val="none"/>
                <w:lang w:eastAsia="zh-CN"/>
              </w:rPr>
              <w:t>设置</w:t>
            </w:r>
            <w:r>
              <w:rPr>
                <w:rFonts w:hint="eastAsia" w:ascii="宋体" w:hAnsi="宋体" w:cs="宋体"/>
                <w:color w:val="auto"/>
                <w:kern w:val="2"/>
                <w:sz w:val="24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auto"/>
                <w:kern w:val="2"/>
                <w:sz w:val="24"/>
                <w:highlight w:val="none"/>
                <w:lang w:val="en-US" w:eastAsia="zh-CN"/>
              </w:rPr>
              <w:t>管理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highlight w:val="none"/>
                <w:lang w:eastAsia="zh-CN"/>
              </w:rPr>
              <w:t>笼位信息，增加笼位状态标志</w:t>
            </w:r>
            <w:r>
              <w:rPr>
                <w:rFonts w:hint="eastAsia" w:ascii="宋体" w:hAnsi="宋体" w:cs="宋体"/>
                <w:color w:val="auto"/>
                <w:kern w:val="2"/>
                <w:sz w:val="24"/>
                <w:highlight w:val="none"/>
                <w:lang w:eastAsia="zh-CN"/>
              </w:rPr>
              <w:t>。</w:t>
            </w:r>
            <w:bookmarkEnd w:id="2"/>
          </w:p>
          <w:p>
            <w:pPr>
              <w:pStyle w:val="15"/>
              <w:numPr>
                <w:ilvl w:val="0"/>
                <w:numId w:val="4"/>
              </w:numPr>
              <w:spacing w:after="150" w:line="240" w:lineRule="auto"/>
              <w:ind w:left="425" w:hanging="425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highlight w:val="none"/>
                <w:lang w:val="en-US" w:eastAsia="zh-CN"/>
              </w:rPr>
              <w:t>可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highlight w:val="none"/>
                <w:lang w:eastAsia="zh-CN"/>
              </w:rPr>
              <w:t>按实验人员申请情况分配笼位，自动生成</w:t>
            </w:r>
            <w:r>
              <w:rPr>
                <w:rFonts w:hint="eastAsia" w:ascii="宋体" w:hAnsi="宋体" w:cs="宋体"/>
                <w:color w:val="auto"/>
                <w:kern w:val="2"/>
                <w:sz w:val="24"/>
                <w:highlight w:val="none"/>
                <w:lang w:val="en-US" w:eastAsia="zh-CN"/>
              </w:rPr>
              <w:t>并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highlight w:val="none"/>
                <w:lang w:eastAsia="zh-CN"/>
              </w:rPr>
              <w:t>打印对应笼牌卡；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highlight w:val="none"/>
                <w:lang w:val="en-US" w:eastAsia="zh-CN"/>
              </w:rPr>
              <w:t>具备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highlight w:val="none"/>
                <w:lang w:eastAsia="zh-CN"/>
              </w:rPr>
              <w:t>笼位信息追溯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highlight w:val="none"/>
                <w:lang w:val="en-US" w:eastAsia="zh-CN"/>
              </w:rPr>
              <w:t>功能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highlight w:val="none"/>
                <w:lang w:eastAsia="zh-CN"/>
              </w:rPr>
              <w:t>，包括笼位操作记录及历史笼位记录等</w:t>
            </w:r>
            <w:r>
              <w:rPr>
                <w:rFonts w:hint="eastAsia" w:ascii="宋体" w:hAnsi="宋体" w:cs="宋体"/>
                <w:color w:val="auto"/>
                <w:kern w:val="2"/>
                <w:sz w:val="24"/>
                <w:highlight w:val="none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highlight w:val="none"/>
                <w:lang w:eastAsia="zh-CN"/>
              </w:rPr>
              <w:t>用户及项目组负责人可实时查询本人或项目组内各成员的笼位信息，包括具体位置、数量、动物信息、实验信息、位操作记录等</w:t>
            </w:r>
            <w:r>
              <w:rPr>
                <w:rFonts w:hint="eastAsia" w:ascii="宋体" w:hAnsi="宋体" w:cs="宋体"/>
                <w:color w:val="auto"/>
                <w:kern w:val="2"/>
                <w:sz w:val="24"/>
                <w:highlight w:val="none"/>
                <w:lang w:eastAsia="zh-CN"/>
              </w:rPr>
              <w:t>；</w:t>
            </w:r>
            <w:r>
              <w:rPr>
                <w:rFonts w:hint="eastAsia" w:ascii="宋体" w:hAnsi="宋体" w:cs="宋体"/>
                <w:color w:val="auto"/>
                <w:kern w:val="2"/>
                <w:sz w:val="24"/>
                <w:highlight w:val="none"/>
                <w:lang w:val="en-US" w:eastAsia="zh-CN"/>
              </w:rPr>
              <w:t>相关操作人员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highlight w:val="none"/>
                <w:lang w:val="en-US" w:eastAsia="zh-CN"/>
              </w:rPr>
              <w:t>可进行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highlight w:val="none"/>
                <w:lang w:eastAsia="zh-CN"/>
              </w:rPr>
              <w:t>笼位操作管理，包括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highlight w:val="none"/>
                <w:lang w:val="en-US" w:eastAsia="zh-CN"/>
              </w:rPr>
              <w:t>增笼、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highlight w:val="none"/>
                <w:lang w:eastAsia="zh-CN"/>
              </w:rPr>
              <w:t>移笼、合笼、离笼、分笼等；</w:t>
            </w:r>
            <w:r>
              <w:rPr>
                <w:rFonts w:hint="eastAsia" w:ascii="宋体" w:hAnsi="宋体" w:cs="宋体"/>
                <w:color w:val="auto"/>
                <w:kern w:val="2"/>
                <w:sz w:val="24"/>
                <w:highlight w:val="none"/>
                <w:lang w:val="en-US" w:eastAsia="zh-CN"/>
              </w:rPr>
              <w:t>系统信息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highlight w:val="none"/>
                <w:lang w:eastAsia="zh-CN"/>
              </w:rPr>
              <w:t>能</w:t>
            </w:r>
            <w:r>
              <w:rPr>
                <w:rFonts w:hint="eastAsia" w:ascii="宋体" w:hAnsi="宋体" w:cs="宋体"/>
                <w:color w:val="auto"/>
                <w:kern w:val="2"/>
                <w:sz w:val="24"/>
                <w:highlight w:val="none"/>
                <w:lang w:val="en-US" w:eastAsia="zh-CN"/>
              </w:rPr>
              <w:t>与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highlight w:val="none"/>
                <w:lang w:eastAsia="zh-CN"/>
              </w:rPr>
              <w:t>巡检终端数据</w:t>
            </w:r>
            <w:r>
              <w:rPr>
                <w:rFonts w:hint="eastAsia" w:ascii="宋体" w:hAnsi="宋体" w:cs="宋体"/>
                <w:color w:val="auto"/>
                <w:kern w:val="2"/>
                <w:sz w:val="24"/>
                <w:highlight w:val="none"/>
                <w:lang w:val="en-US" w:eastAsia="zh-CN"/>
              </w:rPr>
              <w:t>同步。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4" w:hRule="exact"/>
        </w:trPr>
        <w:tc>
          <w:tcPr>
            <w:tcW w:w="1095" w:type="dxa"/>
            <w:vAlign w:val="center"/>
          </w:tcPr>
          <w:p>
            <w:pPr>
              <w:jc w:val="both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515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基因工程动物繁育管理</w:t>
            </w:r>
          </w:p>
        </w:tc>
        <w:tc>
          <w:tcPr>
            <w:tcW w:w="6670" w:type="dxa"/>
            <w:vAlign w:val="center"/>
          </w:tcPr>
          <w:p>
            <w:pPr>
              <w:pStyle w:val="15"/>
              <w:spacing w:after="150" w:line="240" w:lineRule="auto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highlight w:val="none"/>
                <w:lang w:eastAsia="zh-CN"/>
              </w:rPr>
              <w:t>可建立全面的实验动物信息数据库，包括动物品种品系、来源、基因型、表型、日龄、性别、规格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highlight w:val="none"/>
                <w:lang w:val="en-US" w:eastAsia="zh-CN"/>
              </w:rPr>
              <w:t>等</w:t>
            </w:r>
            <w:r>
              <w:rPr>
                <w:rFonts w:hint="eastAsia" w:ascii="宋体" w:hAnsi="宋体" w:cs="宋体"/>
                <w:color w:val="auto"/>
                <w:kern w:val="2"/>
                <w:sz w:val="24"/>
                <w:highlight w:val="none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highlight w:val="none"/>
                <w:lang w:eastAsia="zh-CN"/>
              </w:rPr>
              <w:t>支持实验人员单只</w:t>
            </w:r>
            <w:r>
              <w:rPr>
                <w:rFonts w:hint="eastAsia" w:ascii="宋体" w:hAnsi="宋体" w:cs="宋体"/>
                <w:color w:val="auto"/>
                <w:kern w:val="2"/>
                <w:sz w:val="24"/>
                <w:highlight w:val="none"/>
                <w:lang w:val="en-US" w:eastAsia="zh-CN"/>
              </w:rPr>
              <w:t>或批量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highlight w:val="none"/>
                <w:lang w:eastAsia="zh-CN"/>
              </w:rPr>
              <w:t>动物信息录入/导出，</w:t>
            </w:r>
            <w:r>
              <w:rPr>
                <w:rFonts w:hint="eastAsia" w:ascii="宋体" w:hAnsi="宋体" w:cs="宋体"/>
                <w:color w:val="auto"/>
                <w:kern w:val="2"/>
                <w:sz w:val="24"/>
                <w:highlight w:val="none"/>
                <w:lang w:val="en-US" w:eastAsia="zh-CN"/>
              </w:rPr>
              <w:t>可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highlight w:val="none"/>
                <w:lang w:eastAsia="zh-CN"/>
              </w:rPr>
              <w:t>按需设计繁育路线，记录每次繁育的详细信息，具备基因鉴定实验表单，支持自定义基因型</w:t>
            </w:r>
            <w:r>
              <w:rPr>
                <w:rFonts w:hint="eastAsia" w:ascii="宋体" w:hAnsi="宋体" w:cs="宋体"/>
                <w:color w:val="auto"/>
                <w:kern w:val="2"/>
                <w:sz w:val="24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highlight w:val="none"/>
                <w:lang w:eastAsia="zh-CN"/>
              </w:rPr>
              <w:t>可生成谱系图</w:t>
            </w:r>
            <w:r>
              <w:rPr>
                <w:rFonts w:hint="eastAsia" w:ascii="宋体" w:hAnsi="宋体" w:cs="宋体"/>
                <w:color w:val="auto"/>
                <w:kern w:val="2"/>
                <w:sz w:val="24"/>
                <w:highlight w:val="none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highlight w:val="none"/>
                <w:lang w:eastAsia="zh-CN"/>
              </w:rPr>
              <w:t>实验人员可提交相关实验记录。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4" w:hRule="exact"/>
        </w:trPr>
        <w:tc>
          <w:tcPr>
            <w:tcW w:w="1095" w:type="dxa"/>
            <w:vAlign w:val="center"/>
          </w:tcPr>
          <w:p>
            <w:pPr>
              <w:jc w:val="both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515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技术服务</w:t>
            </w:r>
          </w:p>
        </w:tc>
        <w:tc>
          <w:tcPr>
            <w:tcW w:w="6670" w:type="dxa"/>
            <w:vAlign w:val="center"/>
          </w:tcPr>
          <w:p>
            <w:pPr>
              <w:pStyle w:val="15"/>
              <w:spacing w:after="150" w:line="240" w:lineRule="auto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highlight w:val="none"/>
                <w:lang w:val="en-US" w:eastAsia="zh-CN"/>
              </w:rPr>
              <w:t>可设定技术服务项目、费用等</w:t>
            </w:r>
            <w:r>
              <w:rPr>
                <w:rFonts w:hint="eastAsia" w:ascii="宋体" w:hAnsi="宋体" w:cs="宋体"/>
                <w:color w:val="auto"/>
                <w:kern w:val="2"/>
                <w:sz w:val="24"/>
                <w:highlight w:val="none"/>
                <w:lang w:val="en-US" w:eastAsia="zh-CN"/>
              </w:rPr>
              <w:t>；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highlight w:val="none"/>
                <w:lang w:val="en-US" w:eastAsia="zh-CN"/>
              </w:rPr>
              <w:t>提供动物饲养、大小鼠灌胃、注射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highlight w:val="none"/>
                <w:lang w:eastAsia="zh-CN"/>
              </w:rPr>
              <w:t>等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highlight w:val="none"/>
                <w:lang w:val="en-US" w:eastAsia="zh-CN"/>
              </w:rPr>
              <w:t>技术服务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highlight w:val="none"/>
                <w:lang w:eastAsia="zh-CN"/>
              </w:rPr>
              <w:t>业务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highlight w:val="none"/>
                <w:lang w:val="en-US" w:eastAsia="zh-CN"/>
              </w:rPr>
              <w:t>选择</w:t>
            </w:r>
            <w:r>
              <w:rPr>
                <w:rFonts w:hint="eastAsia" w:ascii="宋体" w:hAnsi="宋体" w:cs="宋体"/>
                <w:color w:val="auto"/>
                <w:kern w:val="2"/>
                <w:sz w:val="24"/>
                <w:highlight w:val="none"/>
                <w:lang w:val="en-US" w:eastAsia="zh-CN"/>
              </w:rPr>
              <w:t>；支持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highlight w:val="none"/>
                <w:lang w:eastAsia="zh-CN"/>
              </w:rPr>
              <w:t>在线申请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highlight w:val="none"/>
                <w:lang w:val="en-US" w:eastAsia="zh-CN"/>
              </w:rPr>
              <w:t>以及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highlight w:val="none"/>
                <w:lang w:eastAsia="zh-CN"/>
              </w:rPr>
              <w:t>单独计费、核算、统计功能。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4" w:hRule="exact"/>
        </w:trPr>
        <w:tc>
          <w:tcPr>
            <w:tcW w:w="1095" w:type="dxa"/>
            <w:vAlign w:val="center"/>
          </w:tcPr>
          <w:p>
            <w:pPr>
              <w:jc w:val="both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1515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仪器管理</w:t>
            </w:r>
          </w:p>
        </w:tc>
        <w:tc>
          <w:tcPr>
            <w:tcW w:w="6670" w:type="dxa"/>
            <w:vAlign w:val="center"/>
          </w:tcPr>
          <w:p>
            <w:pPr>
              <w:pStyle w:val="15"/>
              <w:spacing w:after="150" w:line="240" w:lineRule="auto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4"/>
                <w:highlight w:val="none"/>
                <w:lang w:val="en-US" w:eastAsia="zh-CN"/>
              </w:rPr>
              <w:t>具备仪器设备在线预约、审批、人员确认上机、计费、统计等功能；可根据每台仪器的特点，设置预约条件参数，包括人员使用资质、开放时间、预约时长等；可使用电脑控制的仪器设备需提供客户端，支持人员上机确认、授权核对及上机时长计算等功能，无法使用电脑控制的仪器设备，提供智能电源控制器完成上述功能；管理员可设置每台仪器设备的台账信息，包括基本信息、配件附件、资料、定期检修计划（自动提醒并上传检修结果）、维修记录、使用记录、预约记录、报废记录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4" w:hRule="exact"/>
        </w:trPr>
        <w:tc>
          <w:tcPr>
            <w:tcW w:w="1095" w:type="dxa"/>
            <w:vAlign w:val="center"/>
          </w:tcPr>
          <w:p>
            <w:pPr>
              <w:jc w:val="both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1515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收费管理</w:t>
            </w:r>
          </w:p>
        </w:tc>
        <w:tc>
          <w:tcPr>
            <w:tcW w:w="6670" w:type="dxa"/>
            <w:vAlign w:val="center"/>
          </w:tcPr>
          <w:p>
            <w:pPr>
              <w:pStyle w:val="15"/>
              <w:spacing w:after="150" w:line="240" w:lineRule="auto"/>
              <w:jc w:val="both"/>
              <w:rPr>
                <w:rFonts w:hint="default" w:ascii="宋体" w:hAnsi="宋体" w:eastAsia="宋体" w:cs="宋体"/>
                <w:color w:val="auto"/>
                <w:kern w:val="2"/>
                <w:sz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highlight w:val="none"/>
                <w:lang w:eastAsia="zh-CN"/>
              </w:rPr>
              <w:t>支持动物订购费用、饲养费用、技术服务费、运费、杂费等费用收费标准设置</w:t>
            </w:r>
            <w:r>
              <w:rPr>
                <w:rFonts w:hint="eastAsia" w:ascii="宋体" w:hAnsi="宋体" w:cs="宋体"/>
                <w:color w:val="auto"/>
                <w:kern w:val="2"/>
                <w:sz w:val="24"/>
                <w:highlight w:val="none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highlight w:val="none"/>
                <w:lang w:eastAsia="zh-CN"/>
              </w:rPr>
              <w:t>实现不同类型用户</w:t>
            </w:r>
            <w:r>
              <w:rPr>
                <w:rFonts w:hint="eastAsia" w:ascii="宋体" w:hAnsi="宋体" w:cs="宋体"/>
                <w:color w:val="auto"/>
                <w:kern w:val="2"/>
                <w:sz w:val="24"/>
                <w:highlight w:val="none"/>
                <w:lang w:val="en-US" w:eastAsia="zh-CN"/>
              </w:rPr>
              <w:t>使用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highlight w:val="none"/>
                <w:lang w:eastAsia="zh-CN"/>
              </w:rPr>
              <w:t>不同的收费标准，支持预收费、后收费等多种结算方式</w:t>
            </w:r>
            <w:r>
              <w:rPr>
                <w:rFonts w:hint="eastAsia" w:ascii="宋体" w:hAnsi="宋体" w:cs="宋体"/>
                <w:color w:val="auto"/>
                <w:kern w:val="2"/>
                <w:sz w:val="24"/>
                <w:highlight w:val="none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highlight w:val="none"/>
                <w:lang w:eastAsia="zh-CN"/>
              </w:rPr>
              <w:t>支持自定义收费模式，可自动生成费用详单，支持费用多维度统计及汇总。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9" w:hRule="exact"/>
        </w:trPr>
        <w:tc>
          <w:tcPr>
            <w:tcW w:w="1095" w:type="dxa"/>
            <w:vAlign w:val="center"/>
          </w:tcPr>
          <w:p>
            <w:pPr>
              <w:jc w:val="both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1515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系统对接服务</w:t>
            </w:r>
          </w:p>
        </w:tc>
        <w:tc>
          <w:tcPr>
            <w:tcW w:w="6670" w:type="dxa"/>
            <w:vAlign w:val="center"/>
          </w:tcPr>
          <w:p>
            <w:pPr>
              <w:pStyle w:val="16"/>
              <w:spacing w:after="0" w:line="220" w:lineRule="atLeast"/>
              <w:ind w:left="0" w:leftChars="0" w:firstLine="0" w:firstLineChars="0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highlight w:val="none"/>
                <w:lang w:val="en-US" w:eastAsia="zh-CN" w:bidi="ar-SA"/>
              </w:rPr>
              <w:t>可对接刷卡门禁设备；对接动物房温湿度监测；对接</w:t>
            </w:r>
            <w:r>
              <w:rPr>
                <w:rFonts w:hint="eastAsia" w:ascii="宋体" w:hAnsi="宋体" w:cs="宋体"/>
                <w:color w:val="auto"/>
                <w:kern w:val="2"/>
                <w:sz w:val="24"/>
                <w:highlight w:val="none"/>
                <w:lang w:val="en-US" w:eastAsia="zh-CN" w:bidi="ar-SA"/>
              </w:rPr>
              <w:t>医院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highlight w:val="none"/>
                <w:lang w:val="en-US" w:eastAsia="zh-CN" w:bidi="ar-SA"/>
              </w:rPr>
              <w:t>统一身份认证和财务系统；对接屏障环境内的实验动物相关设备</w:t>
            </w:r>
            <w:r>
              <w:rPr>
                <w:rFonts w:hint="eastAsia" w:ascii="宋体" w:hAnsi="宋体" w:cs="宋体"/>
                <w:color w:val="auto"/>
                <w:kern w:val="2"/>
                <w:sz w:val="24"/>
                <w:highlight w:val="none"/>
                <w:lang w:val="en-US" w:eastAsia="zh-CN" w:bidi="ar-SA"/>
              </w:rPr>
              <w:t>等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highlight w:val="none"/>
                <w:lang w:val="en-US" w:eastAsia="zh-CN" w:bidi="ar-SA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2" w:hRule="exact"/>
        </w:trPr>
        <w:tc>
          <w:tcPr>
            <w:tcW w:w="1095" w:type="dxa"/>
            <w:vAlign w:val="center"/>
          </w:tcPr>
          <w:p>
            <w:pPr>
              <w:jc w:val="both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1515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人员管理</w:t>
            </w:r>
          </w:p>
        </w:tc>
        <w:tc>
          <w:tcPr>
            <w:tcW w:w="6670" w:type="dxa"/>
            <w:vAlign w:val="center"/>
          </w:tcPr>
          <w:p>
            <w:pPr>
              <w:pStyle w:val="15"/>
              <w:spacing w:after="150" w:line="240" w:lineRule="auto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highlight w:val="none"/>
                <w:lang w:eastAsia="zh-CN"/>
              </w:rPr>
              <w:t>具备人员积分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highlight w:val="none"/>
                <w:lang w:val="en-US" w:eastAsia="zh-CN"/>
              </w:rPr>
              <w:t>和资质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highlight w:val="none"/>
                <w:lang w:eastAsia="zh-CN"/>
              </w:rPr>
              <w:t>管理功能，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highlight w:val="none"/>
                <w:lang w:val="en-US" w:eastAsia="zh-CN"/>
              </w:rPr>
              <w:t>可</w:t>
            </w:r>
            <w:r>
              <w:rPr>
                <w:rFonts w:hint="eastAsia" w:ascii="宋体" w:hAnsi="宋体" w:cs="宋体"/>
                <w:color w:val="auto"/>
                <w:kern w:val="2"/>
                <w:sz w:val="24"/>
                <w:highlight w:val="none"/>
                <w:lang w:val="en-US" w:eastAsia="zh-CN"/>
              </w:rPr>
              <w:t>设置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highlight w:val="none"/>
                <w:lang w:eastAsia="zh-CN"/>
              </w:rPr>
              <w:t>管理制度和考核分数，违规行为即时反馈，形成报警，并在监控日志中留下事件列表信息及视频/截图资料以供查询裁决。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4" w:hRule="exact"/>
        </w:trPr>
        <w:tc>
          <w:tcPr>
            <w:tcW w:w="1095" w:type="dxa"/>
            <w:vAlign w:val="center"/>
          </w:tcPr>
          <w:p>
            <w:pPr>
              <w:jc w:val="both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1515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仓储管理</w:t>
            </w:r>
          </w:p>
        </w:tc>
        <w:tc>
          <w:tcPr>
            <w:tcW w:w="6670" w:type="dxa"/>
            <w:vAlign w:val="center"/>
          </w:tcPr>
          <w:p>
            <w:pPr>
              <w:pStyle w:val="15"/>
              <w:spacing w:after="150" w:line="240" w:lineRule="auto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highlight w:val="none"/>
                <w:lang w:eastAsia="zh-CN"/>
              </w:rPr>
              <w:t>可数字化管理饲料、垫料，常用物资耗材的进出库管理，可自定义物品名称、来源、批次、合格证号</w:t>
            </w:r>
            <w:r>
              <w:rPr>
                <w:rFonts w:hint="eastAsia" w:ascii="宋体" w:hAnsi="宋体" w:cs="宋体"/>
                <w:color w:val="auto"/>
                <w:kern w:val="2"/>
                <w:sz w:val="24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highlight w:val="none"/>
                <w:lang w:eastAsia="zh-CN"/>
              </w:rPr>
              <w:t>规格、数量</w:t>
            </w:r>
            <w:r>
              <w:rPr>
                <w:rFonts w:hint="eastAsia" w:ascii="宋体" w:hAnsi="宋体" w:cs="宋体"/>
                <w:color w:val="auto"/>
                <w:kern w:val="2"/>
                <w:sz w:val="24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highlight w:val="none"/>
                <w:lang w:eastAsia="zh-CN"/>
              </w:rPr>
              <w:t>单价</w:t>
            </w:r>
            <w:r>
              <w:rPr>
                <w:rFonts w:hint="eastAsia" w:ascii="宋体" w:hAnsi="宋体" w:cs="宋体"/>
                <w:color w:val="auto"/>
                <w:kern w:val="2"/>
                <w:sz w:val="24"/>
                <w:highlight w:val="none"/>
                <w:lang w:val="en-US" w:eastAsia="zh-CN"/>
              </w:rPr>
              <w:t>及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highlight w:val="none"/>
                <w:lang w:eastAsia="zh-CN"/>
              </w:rPr>
              <w:t>库存预警阀值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highlight w:val="none"/>
                <w:lang w:val="en-US" w:eastAsia="zh-CN"/>
              </w:rPr>
              <w:t>等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highlight w:val="none"/>
                <w:lang w:eastAsia="zh-CN"/>
              </w:rPr>
              <w:t>，自动生成条码信息并</w:t>
            </w:r>
            <w:r>
              <w:rPr>
                <w:rFonts w:hint="eastAsia" w:ascii="宋体" w:hAnsi="宋体" w:cs="宋体"/>
                <w:color w:val="auto"/>
                <w:kern w:val="2"/>
                <w:sz w:val="24"/>
                <w:highlight w:val="none"/>
                <w:lang w:val="en-US" w:eastAsia="zh-CN"/>
              </w:rPr>
              <w:t>可导出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highlight w:val="none"/>
                <w:lang w:eastAsia="zh-CN"/>
              </w:rPr>
              <w:t>打印。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4" w:hRule="exact"/>
        </w:trPr>
        <w:tc>
          <w:tcPr>
            <w:tcW w:w="1095" w:type="dxa"/>
            <w:vAlign w:val="center"/>
          </w:tcPr>
          <w:p>
            <w:pPr>
              <w:jc w:val="both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1515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信息自动推送</w:t>
            </w:r>
          </w:p>
        </w:tc>
        <w:tc>
          <w:tcPr>
            <w:tcW w:w="6670" w:type="dxa"/>
            <w:vAlign w:val="center"/>
          </w:tcPr>
          <w:p>
            <w:pPr>
              <w:pStyle w:val="15"/>
              <w:spacing w:after="150" w:line="240" w:lineRule="auto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highlight w:val="none"/>
                <w:lang w:eastAsia="zh-CN"/>
              </w:rPr>
              <w:t>可</w:t>
            </w:r>
            <w:r>
              <w:rPr>
                <w:rFonts w:hint="eastAsia" w:ascii="宋体" w:hAnsi="宋体" w:cs="宋体"/>
                <w:color w:val="auto"/>
                <w:kern w:val="2"/>
                <w:sz w:val="24"/>
                <w:highlight w:val="none"/>
                <w:lang w:val="en-US" w:eastAsia="zh-CN"/>
              </w:rPr>
              <w:t>自由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highlight w:val="none"/>
                <w:lang w:eastAsia="zh-CN"/>
              </w:rPr>
              <w:t>定义</w:t>
            </w:r>
            <w:r>
              <w:rPr>
                <w:rFonts w:hint="eastAsia" w:ascii="宋体" w:hAnsi="宋体" w:cs="宋体"/>
                <w:color w:val="auto"/>
                <w:kern w:val="2"/>
                <w:sz w:val="24"/>
                <w:highlight w:val="none"/>
                <w:lang w:val="en-US" w:eastAsia="zh-CN"/>
              </w:rPr>
              <w:t>各类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highlight w:val="none"/>
                <w:lang w:eastAsia="zh-CN"/>
              </w:rPr>
              <w:t>业务</w:t>
            </w:r>
            <w:r>
              <w:rPr>
                <w:rFonts w:hint="eastAsia" w:ascii="宋体" w:hAnsi="宋体" w:cs="宋体"/>
                <w:color w:val="auto"/>
                <w:kern w:val="2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auto"/>
                <w:kern w:val="2"/>
                <w:sz w:val="24"/>
                <w:highlight w:val="none"/>
                <w:lang w:val="en-US" w:eastAsia="zh-CN"/>
              </w:rPr>
              <w:t>含伦理管理、人员培训、收费管理、仪器管理等</w:t>
            </w:r>
            <w:r>
              <w:rPr>
                <w:rFonts w:hint="eastAsia" w:ascii="宋体" w:hAnsi="宋体" w:cs="宋体"/>
                <w:color w:val="auto"/>
                <w:kern w:val="2"/>
                <w:sz w:val="24"/>
                <w:highlight w:val="none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highlight w:val="none"/>
                <w:lang w:eastAsia="zh-CN"/>
              </w:rPr>
              <w:t>流程的关键节点，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highlight w:val="none"/>
                <w:lang w:val="en-US" w:eastAsia="zh-CN"/>
              </w:rPr>
              <w:t>可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highlight w:val="none"/>
                <w:lang w:eastAsia="zh-CN"/>
              </w:rPr>
              <w:t>展开节点查看业务状态及详情</w:t>
            </w:r>
            <w:r>
              <w:rPr>
                <w:rFonts w:hint="eastAsia" w:ascii="宋体" w:hAnsi="宋体" w:cs="宋体"/>
                <w:color w:val="auto"/>
                <w:kern w:val="2"/>
                <w:sz w:val="24"/>
                <w:highlight w:val="none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highlight w:val="none"/>
                <w:lang w:eastAsia="zh-CN"/>
              </w:rPr>
              <w:t>可自动推送节点状态信息至</w:t>
            </w:r>
            <w:r>
              <w:rPr>
                <w:rFonts w:hint="eastAsia" w:ascii="宋体" w:hAnsi="宋体" w:cs="宋体"/>
                <w:color w:val="auto"/>
                <w:kern w:val="2"/>
                <w:sz w:val="24"/>
                <w:highlight w:val="none"/>
                <w:lang w:val="en-US" w:eastAsia="zh-CN"/>
              </w:rPr>
              <w:t>相关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highlight w:val="none"/>
                <w:lang w:eastAsia="zh-CN"/>
              </w:rPr>
              <w:t>用户，推送方式包含微信公众号推送、邮件推送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highlight w:val="none"/>
                <w:lang w:val="en-US" w:eastAsia="zh-CN"/>
              </w:rPr>
              <w:t>等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highlight w:val="none"/>
                <w:lang w:eastAsia="zh-CN"/>
              </w:rPr>
              <w:t>，推送目标人员可按需设置。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3" w:hRule="exact"/>
        </w:trPr>
        <w:tc>
          <w:tcPr>
            <w:tcW w:w="1095" w:type="dxa"/>
            <w:vAlign w:val="center"/>
          </w:tcPr>
          <w:p>
            <w:pPr>
              <w:jc w:val="both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1515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在线文档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管理</w:t>
            </w:r>
          </w:p>
        </w:tc>
        <w:tc>
          <w:tcPr>
            <w:tcW w:w="6670" w:type="dxa"/>
            <w:vAlign w:val="center"/>
          </w:tcPr>
          <w:p>
            <w:pPr>
              <w:pStyle w:val="15"/>
              <w:numPr>
                <w:ilvl w:val="0"/>
                <w:numId w:val="5"/>
              </w:numPr>
              <w:spacing w:after="150" w:line="240" w:lineRule="auto"/>
              <w:ind w:left="425" w:hanging="425"/>
              <w:jc w:val="both"/>
              <w:rPr>
                <w:rFonts w:hint="eastAsia" w:ascii="宋体" w:hAnsi="宋体" w:cs="宋体"/>
                <w:color w:val="auto"/>
                <w:kern w:val="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4"/>
                <w:highlight w:val="none"/>
                <w:lang w:val="en-US" w:eastAsia="zh-CN"/>
              </w:rPr>
              <w:t>可以上传文件模板，可在线填写并提交审批。</w:t>
            </w:r>
          </w:p>
          <w:p>
            <w:pPr>
              <w:pStyle w:val="15"/>
              <w:numPr>
                <w:ilvl w:val="0"/>
                <w:numId w:val="5"/>
              </w:numPr>
              <w:spacing w:after="150" w:line="240" w:lineRule="auto"/>
              <w:ind w:left="425" w:hanging="425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highlight w:val="none"/>
                <w:lang w:eastAsia="zh-CN"/>
              </w:rPr>
              <w:t>所有在线业务申请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highlight w:val="none"/>
                <w:lang w:val="en-US" w:eastAsia="zh-CN"/>
              </w:rPr>
              <w:t>可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highlight w:val="none"/>
                <w:lang w:eastAsia="zh-CN"/>
              </w:rPr>
              <w:t>采用文档形式</w:t>
            </w:r>
            <w:r>
              <w:rPr>
                <w:rFonts w:hint="eastAsia" w:ascii="宋体" w:hAnsi="宋体" w:cs="宋体"/>
                <w:color w:val="auto"/>
                <w:kern w:val="2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auto"/>
                <w:kern w:val="2"/>
                <w:sz w:val="24"/>
                <w:highlight w:val="none"/>
                <w:lang w:val="en-US" w:eastAsia="zh-CN"/>
              </w:rPr>
              <w:t>包括伦理审查、入室申请、技术服务、科室内部各业务文档等）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highlight w:val="none"/>
                <w:lang w:eastAsia="zh-CN"/>
              </w:rPr>
              <w:t>，支持多人在线协同编辑工作</w:t>
            </w:r>
            <w:r>
              <w:rPr>
                <w:rFonts w:hint="eastAsia" w:ascii="宋体" w:hAnsi="宋体" w:cs="宋体"/>
                <w:color w:val="auto"/>
                <w:kern w:val="2"/>
                <w:sz w:val="24"/>
                <w:highlight w:val="none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highlight w:val="none"/>
                <w:lang w:eastAsia="zh-CN"/>
              </w:rPr>
              <w:t>文档</w:t>
            </w:r>
            <w:r>
              <w:rPr>
                <w:rFonts w:hint="eastAsia" w:ascii="宋体" w:hAnsi="宋体" w:cs="宋体"/>
                <w:color w:val="auto"/>
                <w:kern w:val="2"/>
                <w:sz w:val="24"/>
                <w:highlight w:val="none"/>
                <w:lang w:val="en-US" w:eastAsia="zh-CN"/>
              </w:rPr>
              <w:t>可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highlight w:val="none"/>
                <w:lang w:eastAsia="zh-CN"/>
              </w:rPr>
              <w:t>直接进行在线填写、编辑、提交，审批人可分别进行在线批注、填写审批意见</w:t>
            </w:r>
            <w:r>
              <w:rPr>
                <w:rFonts w:hint="eastAsia" w:ascii="宋体" w:hAnsi="宋体" w:cs="宋体"/>
                <w:color w:val="auto"/>
                <w:kern w:val="2"/>
                <w:sz w:val="24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auto"/>
                <w:kern w:val="2"/>
                <w:sz w:val="24"/>
                <w:highlight w:val="none"/>
                <w:lang w:val="en-US" w:eastAsia="zh-CN"/>
              </w:rPr>
              <w:t>添加电子签字及印章功能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highlight w:val="none"/>
                <w:lang w:eastAsia="zh-CN"/>
              </w:rPr>
              <w:t>等</w:t>
            </w:r>
            <w:r>
              <w:rPr>
                <w:rFonts w:hint="eastAsia" w:ascii="宋体" w:hAnsi="宋体" w:cs="宋体"/>
                <w:color w:val="auto"/>
                <w:kern w:val="2"/>
                <w:sz w:val="24"/>
                <w:highlight w:val="none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9" w:hRule="exact"/>
        </w:trPr>
        <w:tc>
          <w:tcPr>
            <w:tcW w:w="1095" w:type="dxa"/>
            <w:vAlign w:val="center"/>
          </w:tcPr>
          <w:p>
            <w:pPr>
              <w:jc w:val="both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1515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数据统计</w:t>
            </w:r>
          </w:p>
        </w:tc>
        <w:tc>
          <w:tcPr>
            <w:tcW w:w="6670" w:type="dxa"/>
            <w:vAlign w:val="center"/>
          </w:tcPr>
          <w:p>
            <w:pPr>
              <w:pStyle w:val="15"/>
              <w:spacing w:after="150" w:line="240" w:lineRule="auto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4"/>
                <w:highlight w:val="none"/>
                <w:lang w:val="en-US" w:eastAsia="zh-CN"/>
              </w:rPr>
              <w:t>可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highlight w:val="none"/>
                <w:lang w:eastAsia="zh-CN"/>
              </w:rPr>
              <w:t>按</w:t>
            </w:r>
            <w:r>
              <w:rPr>
                <w:rFonts w:hint="eastAsia" w:ascii="宋体" w:hAnsi="宋体" w:cs="宋体"/>
                <w:color w:val="auto"/>
                <w:kern w:val="2"/>
                <w:sz w:val="24"/>
                <w:highlight w:val="none"/>
                <w:lang w:val="en-US" w:eastAsia="zh-CN"/>
              </w:rPr>
              <w:t>需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highlight w:val="none"/>
                <w:lang w:eastAsia="zh-CN"/>
              </w:rPr>
              <w:t>定制统计报表</w:t>
            </w:r>
            <w:r>
              <w:rPr>
                <w:rFonts w:hint="eastAsia" w:ascii="宋体" w:hAnsi="宋体" w:cs="宋体"/>
                <w:color w:val="auto"/>
                <w:kern w:val="2"/>
                <w:sz w:val="24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highlight w:val="none"/>
                <w:lang w:eastAsia="zh-CN"/>
              </w:rPr>
              <w:t>可交叉查询、汇总各项数据统计列表，实现工作量统计、人员信息统计、实验动物信息统计、笼位资源信息统计、每日工作综合汇报等，</w:t>
            </w:r>
            <w:r>
              <w:rPr>
                <w:rFonts w:hint="eastAsia" w:ascii="宋体" w:hAnsi="宋体" w:cs="宋体"/>
                <w:color w:val="auto"/>
                <w:kern w:val="2"/>
                <w:sz w:val="24"/>
                <w:highlight w:val="none"/>
                <w:lang w:val="en-US" w:eastAsia="zh-CN"/>
              </w:rPr>
              <w:t>并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highlight w:val="none"/>
                <w:lang w:eastAsia="zh-CN"/>
              </w:rPr>
              <w:t>形成数据统计面板</w:t>
            </w:r>
            <w:r>
              <w:rPr>
                <w:rFonts w:hint="eastAsia" w:ascii="宋体" w:hAnsi="宋体" w:cs="宋体"/>
                <w:color w:val="auto"/>
                <w:kern w:val="2"/>
                <w:sz w:val="24"/>
                <w:highlight w:val="none"/>
                <w:lang w:eastAsia="zh-CN"/>
              </w:rPr>
              <w:t>；</w:t>
            </w:r>
            <w:r>
              <w:rPr>
                <w:rFonts w:hint="eastAsia" w:ascii="宋体" w:hAnsi="宋体" w:cs="宋体"/>
                <w:color w:val="auto"/>
                <w:kern w:val="2"/>
                <w:sz w:val="24"/>
                <w:highlight w:val="none"/>
                <w:lang w:val="en-US" w:eastAsia="zh-CN"/>
              </w:rPr>
              <w:t>可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highlight w:val="none"/>
                <w:lang w:eastAsia="zh-CN"/>
              </w:rPr>
              <w:t>记录及汇总项目的实验名称、实验类型、各实验类型关系</w:t>
            </w:r>
            <w:r>
              <w:rPr>
                <w:rFonts w:hint="eastAsia" w:ascii="宋体" w:hAnsi="宋体" w:cs="宋体"/>
                <w:color w:val="auto"/>
                <w:kern w:val="2"/>
                <w:sz w:val="24"/>
                <w:highlight w:val="none"/>
                <w:lang w:val="en-US" w:eastAsia="zh-CN"/>
              </w:rPr>
              <w:t>等</w:t>
            </w:r>
            <w:r>
              <w:rPr>
                <w:rFonts w:hint="eastAsia" w:ascii="宋体" w:hAnsi="宋体" w:cs="宋体"/>
                <w:color w:val="auto"/>
                <w:kern w:val="2"/>
                <w:sz w:val="24"/>
                <w:highlight w:val="none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highlight w:val="none"/>
                <w:lang w:eastAsia="zh-CN"/>
              </w:rPr>
              <w:t>汇总数据形成列表，可</w:t>
            </w:r>
            <w:r>
              <w:rPr>
                <w:rFonts w:hint="eastAsia" w:ascii="宋体" w:hAnsi="宋体" w:cs="宋体"/>
                <w:color w:val="auto"/>
                <w:kern w:val="2"/>
                <w:sz w:val="24"/>
                <w:highlight w:val="none"/>
                <w:lang w:val="en-US" w:eastAsia="zh-CN"/>
              </w:rPr>
              <w:t>导出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highlight w:val="none"/>
                <w:lang w:eastAsia="zh-CN"/>
              </w:rPr>
              <w:t>下载为常见格式</w:t>
            </w:r>
            <w:r>
              <w:rPr>
                <w:rFonts w:hint="eastAsia" w:ascii="宋体" w:hAnsi="宋体" w:cs="宋体"/>
                <w:color w:val="auto"/>
                <w:kern w:val="2"/>
                <w:sz w:val="24"/>
                <w:highlight w:val="none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9" w:hRule="exact"/>
        </w:trPr>
        <w:tc>
          <w:tcPr>
            <w:tcW w:w="1095" w:type="dxa"/>
            <w:vAlign w:val="center"/>
          </w:tcPr>
          <w:p>
            <w:pPr>
              <w:jc w:val="both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1515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移动端功能模块</w:t>
            </w:r>
          </w:p>
        </w:tc>
        <w:tc>
          <w:tcPr>
            <w:tcW w:w="6670" w:type="dxa"/>
            <w:vAlign w:val="center"/>
          </w:tcPr>
          <w:p>
            <w:pPr>
              <w:pStyle w:val="16"/>
              <w:spacing w:after="0" w:line="220" w:lineRule="atLeast"/>
              <w:ind w:left="0" w:leftChars="0" w:firstLine="0" w:firstLineChars="0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highlight w:val="none"/>
                <w:lang w:val="en-US" w:eastAsia="zh-CN" w:bidi="ar-SA"/>
              </w:rPr>
              <w:t>移动端实现仪器预约、屏障准入申请</w:t>
            </w:r>
            <w:r>
              <w:rPr>
                <w:rFonts w:hint="eastAsia" w:ascii="宋体" w:hAnsi="宋体" w:cs="宋体"/>
                <w:color w:val="auto"/>
                <w:kern w:val="2"/>
                <w:sz w:val="24"/>
                <w:highlight w:val="none"/>
                <w:lang w:val="en-US" w:eastAsia="zh-CN" w:bidi="ar-SA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highlight w:val="none"/>
                <w:lang w:val="en-US" w:eastAsia="zh-CN" w:bidi="ar-SA"/>
              </w:rPr>
              <w:t>技术服务申请及其他指定功能；</w:t>
            </w:r>
            <w:r>
              <w:rPr>
                <w:rFonts w:hint="eastAsia" w:ascii="宋体" w:hAnsi="宋体" w:cs="宋体"/>
                <w:color w:val="auto"/>
                <w:kern w:val="2"/>
                <w:sz w:val="24"/>
                <w:highlight w:val="none"/>
                <w:lang w:val="en-US" w:eastAsia="zh-CN" w:bidi="ar-SA"/>
              </w:rPr>
              <w:t>可与医院医院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highlight w:val="none"/>
                <w:lang w:val="en-US" w:eastAsia="zh-CN" w:bidi="ar-SA"/>
              </w:rPr>
              <w:t>官方</w:t>
            </w:r>
            <w:r>
              <w:rPr>
                <w:rFonts w:hint="eastAsia" w:ascii="宋体" w:hAnsi="宋体" w:cs="宋体"/>
                <w:color w:val="auto"/>
                <w:kern w:val="2"/>
                <w:sz w:val="24"/>
                <w:highlight w:val="none"/>
                <w:lang w:val="en-US" w:eastAsia="zh-CN" w:bidi="ar-SA"/>
              </w:rPr>
              <w:t>途径对接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highlight w:val="none"/>
                <w:lang w:val="en-US" w:eastAsia="zh-CN" w:bidi="ar-SA"/>
              </w:rPr>
              <w:t>，通过网页等形式实现移动端功能。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1" w:hRule="exact"/>
        </w:trPr>
        <w:tc>
          <w:tcPr>
            <w:tcW w:w="1095" w:type="dxa"/>
            <w:vAlign w:val="center"/>
          </w:tcPr>
          <w:p>
            <w:pPr>
              <w:jc w:val="both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16</w:t>
            </w:r>
          </w:p>
        </w:tc>
        <w:tc>
          <w:tcPr>
            <w:tcW w:w="1515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智慧数字大屏信息</w:t>
            </w:r>
          </w:p>
        </w:tc>
        <w:tc>
          <w:tcPr>
            <w:tcW w:w="6670" w:type="dxa"/>
            <w:vAlign w:val="center"/>
          </w:tcPr>
          <w:p>
            <w:pPr>
              <w:pStyle w:val="16"/>
              <w:spacing w:after="0" w:line="220" w:lineRule="atLeast"/>
              <w:ind w:left="0" w:leftChars="0" w:firstLine="0" w:firstLineChars="0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highlight w:val="none"/>
                <w:lang w:val="en-US" w:eastAsia="zh-CN" w:bidi="ar-SA"/>
              </w:rPr>
              <w:t>综合汇总</w:t>
            </w:r>
            <w:r>
              <w:rPr>
                <w:rFonts w:hint="eastAsia" w:ascii="宋体" w:hAnsi="宋体" w:cs="宋体"/>
                <w:color w:val="auto"/>
                <w:kern w:val="2"/>
                <w:sz w:val="24"/>
                <w:highlight w:val="none"/>
                <w:lang w:val="en-US" w:eastAsia="zh-CN" w:bidi="ar-SA"/>
              </w:rPr>
              <w:t>显示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highlight w:val="none"/>
                <w:lang w:val="en-US" w:eastAsia="zh-CN" w:bidi="ar-SA"/>
              </w:rPr>
              <w:t>实验动物管理信息及实验动物设施的各项关键信息，包括播放</w:t>
            </w:r>
            <w:r>
              <w:rPr>
                <w:rFonts w:hint="eastAsia" w:ascii="宋体" w:hAnsi="宋体" w:cs="宋体"/>
                <w:color w:val="auto"/>
                <w:kern w:val="2"/>
                <w:sz w:val="24"/>
                <w:highlight w:val="none"/>
                <w:lang w:val="en-US" w:eastAsia="zh-CN" w:bidi="ar-SA"/>
              </w:rPr>
              <w:t>动物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highlight w:val="none"/>
                <w:lang w:val="en-US" w:eastAsia="zh-CN" w:bidi="ar-SA"/>
              </w:rPr>
              <w:t>中心相关视频、笼位资源使用情况、实验动物情况、各项业务汇总信息、设施温湿度监控、人员进出情况等，各数据板块按需订制。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6" w:hRule="exact"/>
        </w:trPr>
        <w:tc>
          <w:tcPr>
            <w:tcW w:w="1095" w:type="dxa"/>
            <w:vAlign w:val="center"/>
          </w:tcPr>
          <w:p>
            <w:pPr>
              <w:jc w:val="both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17</w:t>
            </w:r>
          </w:p>
        </w:tc>
        <w:tc>
          <w:tcPr>
            <w:tcW w:w="1515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配套物联网硬件</w:t>
            </w:r>
          </w:p>
        </w:tc>
        <w:tc>
          <w:tcPr>
            <w:tcW w:w="6670" w:type="dxa"/>
            <w:vAlign w:val="center"/>
          </w:tcPr>
          <w:p>
            <w:pPr>
              <w:pStyle w:val="16"/>
              <w:numPr>
                <w:ilvl w:val="0"/>
                <w:numId w:val="6"/>
              </w:numPr>
              <w:spacing w:after="0" w:line="220" w:lineRule="atLeast"/>
              <w:ind w:left="425" w:leftChars="0" w:hanging="425" w:firstLineChars="0"/>
              <w:rPr>
                <w:rFonts w:hint="eastAsia" w:ascii="宋体" w:hAnsi="宋体" w:eastAsia="宋体" w:cs="宋体"/>
                <w:color w:val="auto"/>
                <w:kern w:val="2"/>
                <w:sz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highlight w:val="none"/>
                <w:lang w:val="en-US" w:eastAsia="zh-CN" w:bidi="ar-SA"/>
              </w:rPr>
              <w:t>智能巡检平板5台，可进行笼位管理、动物实验记录、日常巡检、笼牌卡打印、笼位盘点等功能；</w:t>
            </w:r>
          </w:p>
          <w:p>
            <w:pPr>
              <w:pStyle w:val="16"/>
              <w:numPr>
                <w:ilvl w:val="0"/>
                <w:numId w:val="6"/>
              </w:numPr>
              <w:spacing w:after="0" w:line="220" w:lineRule="atLeast"/>
              <w:ind w:left="425" w:leftChars="0" w:hanging="425" w:firstLineChars="0"/>
              <w:rPr>
                <w:rFonts w:hint="default" w:ascii="宋体" w:hAnsi="宋体" w:eastAsia="宋体" w:cs="宋体"/>
                <w:color w:val="auto"/>
                <w:kern w:val="2"/>
                <w:sz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highlight w:val="none"/>
                <w:lang w:val="en-US" w:eastAsia="zh-CN" w:bidi="ar-SA"/>
              </w:rPr>
              <w:t>笼牌打印机5台，热敏打印机，支持笼牌格式自定义；</w:t>
            </w:r>
          </w:p>
          <w:p>
            <w:pPr>
              <w:pStyle w:val="16"/>
              <w:numPr>
                <w:ilvl w:val="0"/>
                <w:numId w:val="6"/>
              </w:numPr>
              <w:spacing w:after="0" w:line="220" w:lineRule="atLeast"/>
              <w:ind w:left="425" w:leftChars="0" w:hanging="425" w:firstLineChars="0"/>
              <w:rPr>
                <w:rFonts w:hint="default" w:ascii="宋体" w:hAnsi="宋体" w:eastAsia="宋体" w:cs="宋体"/>
                <w:color w:val="auto"/>
                <w:kern w:val="2"/>
                <w:sz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highlight w:val="none"/>
                <w:lang w:val="en-US" w:eastAsia="zh-CN" w:bidi="ar-SA"/>
              </w:rPr>
              <w:t>智能电源控制器5台，在线监测设备运行状态，使用时长，与仪器管理功能相关联协作；</w:t>
            </w:r>
          </w:p>
          <w:p>
            <w:pPr>
              <w:pStyle w:val="16"/>
              <w:numPr>
                <w:ilvl w:val="0"/>
                <w:numId w:val="6"/>
              </w:numPr>
              <w:spacing w:after="0" w:line="220" w:lineRule="atLeast"/>
              <w:ind w:left="425" w:leftChars="0" w:hanging="425" w:firstLineChars="0"/>
              <w:rPr>
                <w:rFonts w:hint="eastAsia" w:ascii="宋体" w:hAnsi="宋体" w:eastAsia="宋体" w:cs="宋体"/>
                <w:color w:val="auto"/>
                <w:kern w:val="2"/>
                <w:sz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highlight w:val="none"/>
                <w:lang w:val="en-US" w:eastAsia="zh-CN" w:bidi="ar-SA"/>
              </w:rPr>
              <w:t>32英寸竖屏高清触摸查询一体机一台，壁挂式；</w:t>
            </w:r>
          </w:p>
          <w:p>
            <w:pPr>
              <w:pStyle w:val="16"/>
              <w:numPr>
                <w:ilvl w:val="0"/>
                <w:numId w:val="6"/>
              </w:numPr>
              <w:spacing w:after="0" w:line="220" w:lineRule="atLeast"/>
              <w:ind w:left="425" w:leftChars="0" w:hanging="425" w:firstLineChars="0"/>
              <w:rPr>
                <w:rFonts w:hint="default" w:ascii="宋体" w:hAnsi="宋体" w:eastAsia="宋体" w:cs="宋体"/>
                <w:color w:val="auto"/>
                <w:kern w:val="2"/>
                <w:sz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highlight w:val="none"/>
                <w:lang w:val="en-US" w:eastAsia="zh-CN" w:bidi="ar-SA"/>
              </w:rPr>
              <w:t>65英寸高清液晶显示屏一台。</w:t>
            </w:r>
          </w:p>
        </w:tc>
      </w:tr>
    </w:tbl>
    <w:p>
      <w:pPr>
        <w:numPr>
          <w:numId w:val="0"/>
        </w:numPr>
        <w:jc w:val="both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>
      <w:pPr>
        <w:numPr>
          <w:ilvl w:val="0"/>
          <w:numId w:val="7"/>
        </w:numPr>
        <w:ind w:leftChars="0"/>
        <w:jc w:val="both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其他要求</w:t>
      </w:r>
    </w:p>
    <w:p>
      <w:pPr>
        <w:pStyle w:val="14"/>
        <w:widowControl/>
        <w:numPr>
          <w:numId w:val="0"/>
        </w:numPr>
        <w:wordWrap/>
        <w:adjustRightInd/>
        <w:snapToGrid/>
        <w:spacing w:before="0" w:beforeAutospacing="0" w:after="0" w:afterAutospacing="0" w:line="59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trike w:val="0"/>
          <w:dstrike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strike w:val="0"/>
          <w:dstrike w:val="0"/>
          <w:color w:val="auto"/>
          <w:sz w:val="32"/>
          <w:szCs w:val="32"/>
          <w:lang w:val="en-US" w:eastAsia="zh-CN"/>
        </w:rPr>
        <w:t>1、应结合我院实际医疗及管理需要，对系统进行客户化修改，包括但不限于结合医院实际管理需求；同时不得使用主管部门禁止使用的操作系统及数据库。</w:t>
      </w:r>
    </w:p>
    <w:p>
      <w:pPr>
        <w:pStyle w:val="14"/>
        <w:widowControl/>
        <w:numPr>
          <w:ilvl w:val="0"/>
          <w:numId w:val="8"/>
        </w:numPr>
        <w:wordWrap/>
        <w:adjustRightInd/>
        <w:snapToGrid/>
        <w:spacing w:before="0" w:beforeAutospacing="0" w:after="0" w:afterAutospacing="0" w:line="59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trike w:val="0"/>
          <w:dstrike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trike w:val="0"/>
          <w:dstrike w:val="0"/>
          <w:color w:val="auto"/>
          <w:sz w:val="32"/>
          <w:szCs w:val="32"/>
          <w:lang w:val="en-US" w:eastAsia="zh-CN"/>
        </w:rPr>
        <w:t>根据国家《医院信息系统功能规范》第十二条以及国家信息化建设审计要求，至少必须提供数据字典、数据结构与流程、操作使用手册、系统维护手册。必须提供完整的总体设计报告、需求分析说明书、概要设计说明书、详细设计说明书、数据字典、数据结构与流程、测试报告、操作使用手册、系统维护手册。</w:t>
      </w:r>
    </w:p>
    <w:p>
      <w:pPr>
        <w:pStyle w:val="14"/>
        <w:widowControl/>
        <w:numPr>
          <w:ilvl w:val="0"/>
          <w:numId w:val="8"/>
        </w:numPr>
        <w:wordWrap/>
        <w:adjustRightInd/>
        <w:snapToGrid/>
        <w:spacing w:before="0" w:beforeAutospacing="0" w:after="0" w:afterAutospacing="0" w:line="59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trike w:val="0"/>
          <w:dstrike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strike w:val="0"/>
          <w:dstrike w:val="0"/>
          <w:color w:val="auto"/>
          <w:sz w:val="32"/>
          <w:szCs w:val="32"/>
          <w:lang w:val="en-US" w:eastAsia="zh-CN"/>
        </w:rPr>
        <w:t>数据具备各数据表基础数据项的完整性，诸如：数据的创建人、创建时间、最后修改人、最后修改时间等；具备应用系统数据修改痕迹管理，各项核心业务的数据修改必须以日志形式保存，数据修改日志至少必须有“数据基础信息”、“修改前数据”、“修改后数据”、“修改人”、“修改时间”五个部分核心数据项组成；具备应用系统可以手动设置本地日志的保存目录，并自动必须定期清除。</w:t>
      </w:r>
    </w:p>
    <w:p>
      <w:pPr>
        <w:pStyle w:val="14"/>
        <w:widowControl/>
        <w:numPr>
          <w:ilvl w:val="0"/>
          <w:numId w:val="8"/>
        </w:numPr>
        <w:wordWrap/>
        <w:adjustRightInd/>
        <w:snapToGrid/>
        <w:spacing w:before="0" w:beforeAutospacing="0" w:after="0" w:afterAutospacing="0" w:line="59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trike w:val="0"/>
          <w:dstrike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strike w:val="0"/>
          <w:dstrike w:val="0"/>
          <w:color w:val="auto"/>
          <w:sz w:val="32"/>
          <w:szCs w:val="32"/>
        </w:rPr>
        <w:t>本项目为交钥匙工程，本项目</w:t>
      </w:r>
      <w:r>
        <w:rPr>
          <w:rFonts w:hint="eastAsia" w:ascii="仿宋_GB2312" w:hAnsi="仿宋_GB2312" w:eastAsia="仿宋_GB2312" w:cs="仿宋_GB2312"/>
          <w:strike w:val="0"/>
          <w:dstrike w:val="0"/>
          <w:color w:val="auto"/>
          <w:sz w:val="32"/>
          <w:szCs w:val="32"/>
          <w:lang w:val="en-US" w:eastAsia="zh-CN"/>
        </w:rPr>
        <w:t>系统</w:t>
      </w:r>
      <w:r>
        <w:rPr>
          <w:rFonts w:hint="eastAsia" w:ascii="仿宋_GB2312" w:hAnsi="仿宋_GB2312" w:eastAsia="仿宋_GB2312" w:cs="仿宋_GB2312"/>
          <w:strike w:val="0"/>
          <w:dstrike w:val="0"/>
          <w:color w:val="auto"/>
          <w:sz w:val="32"/>
          <w:szCs w:val="32"/>
        </w:rPr>
        <w:t>与各业务系统及设备的数据接口由中标人自行负责。本项目涉及院内现有各业务系统接口的，采购人不再向中标人支付接口费用。</w:t>
      </w:r>
    </w:p>
    <w:p>
      <w:pPr>
        <w:pStyle w:val="14"/>
        <w:widowControl/>
        <w:numPr>
          <w:ilvl w:val="0"/>
          <w:numId w:val="8"/>
        </w:numPr>
        <w:wordWrap/>
        <w:adjustRightInd/>
        <w:snapToGrid/>
        <w:spacing w:before="0" w:beforeAutospacing="0" w:after="0" w:afterAutospacing="0" w:line="59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trike w:val="0"/>
          <w:dstrike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trike w:val="0"/>
          <w:dstrike w:val="0"/>
          <w:color w:val="auto"/>
          <w:sz w:val="32"/>
          <w:szCs w:val="32"/>
          <w:lang w:val="en-US" w:eastAsia="zh-CN"/>
        </w:rPr>
        <w:t>本项目系统应提供与医院HIS，电子病历、危急值平台、报告平台、麻醉耗材、患者360（含HIS360、CDR360）等系统无缝集成接口，符合电子病历6级、医院的互联互通5级、智慧医院4级的建设要求，上述各评级不涉及本系统的功能可以按本次招标内容为准。</w:t>
      </w:r>
    </w:p>
    <w:p>
      <w:pPr>
        <w:pStyle w:val="14"/>
        <w:widowControl/>
        <w:numPr>
          <w:ilvl w:val="0"/>
          <w:numId w:val="8"/>
        </w:numPr>
        <w:wordWrap/>
        <w:adjustRightInd/>
        <w:snapToGrid/>
        <w:spacing w:before="0" w:beforeAutospacing="0" w:after="0" w:afterAutospacing="0" w:line="59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trike w:val="0"/>
          <w:dstrike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trike w:val="0"/>
          <w:dstrike w:val="0"/>
          <w:color w:val="auto"/>
          <w:sz w:val="32"/>
          <w:szCs w:val="32"/>
          <w:lang w:val="en-US" w:eastAsia="zh-CN"/>
        </w:rPr>
        <w:t>具备与集成平台通过统一的数据接口，实现浏览各检查报告具备通过系统集成平台按照国家、院内、院级数据集标准进行数据交换。具备多模式下数据交换接口的切换管理，诸如：集成平台出现故障时，可切换成应用系统服务接口模式或数据表模式，集成平台恢复时，可重新切换成集成平台。</w:t>
      </w:r>
    </w:p>
    <w:p>
      <w:pPr>
        <w:pStyle w:val="14"/>
        <w:widowControl/>
        <w:numPr>
          <w:ilvl w:val="0"/>
          <w:numId w:val="8"/>
        </w:numPr>
        <w:wordWrap/>
        <w:adjustRightInd/>
        <w:snapToGrid/>
        <w:spacing w:before="0" w:beforeAutospacing="0" w:after="0" w:afterAutospacing="0" w:line="59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trike w:val="0"/>
          <w:dstrike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trike w:val="0"/>
          <w:dstrike w:val="0"/>
          <w:color w:val="auto"/>
          <w:sz w:val="32"/>
          <w:szCs w:val="32"/>
          <w:lang w:val="en-US" w:eastAsia="zh-CN"/>
        </w:rPr>
        <w:t>三年内免费实施政策性国家、省市各平台的数据接口、数据上传等服务及免费实施国密改造、信创国产化，包括但不限于：福建省卫健委居民健康综合服务平台、福建省检查检验结果互联互通互认平台、福建省卫健委多码融合项目等，产生相应指标，推送至医疗平台接口中（涉及其他系统，应与其他系统配合实施）。</w:t>
      </w:r>
    </w:p>
    <w:p>
      <w:pPr>
        <w:pStyle w:val="14"/>
        <w:widowControl/>
        <w:numPr>
          <w:ilvl w:val="0"/>
          <w:numId w:val="8"/>
        </w:numPr>
        <w:wordWrap/>
        <w:adjustRightInd/>
        <w:snapToGrid/>
        <w:spacing w:before="0" w:beforeAutospacing="0" w:after="0" w:afterAutospacing="0" w:line="59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trike w:val="0"/>
          <w:dstrike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trike w:val="0"/>
          <w:dstrike w:val="0"/>
          <w:color w:val="auto"/>
          <w:sz w:val="32"/>
          <w:szCs w:val="32"/>
          <w:lang w:val="en-US" w:eastAsia="zh-CN"/>
        </w:rPr>
        <w:t>本项目所有的工作流程节点（诸如：工作环节名称、患者ID、操作人、操作时间等）必须发送至全院工作流程管理平台进行接收、存储；本项目所涉及的影像文件（照片、图像等），则必须与全院统一影像数据中台实现交互，全部由全院统一影像数据中台进行管理（接收、存储、调阅等），原则上本项目服务器及应用系统不保存所涉及的影像文件（照片、图像等）；各具体接口技术方案待实施时由采购人提供。</w:t>
      </w:r>
    </w:p>
    <w:p>
      <w:pPr>
        <w:pStyle w:val="14"/>
        <w:widowControl/>
        <w:numPr>
          <w:ilvl w:val="0"/>
          <w:numId w:val="8"/>
        </w:numPr>
        <w:wordWrap/>
        <w:adjustRightInd/>
        <w:snapToGrid/>
        <w:spacing w:before="0" w:beforeAutospacing="0" w:after="0" w:afterAutospacing="0" w:line="59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trike w:val="0"/>
          <w:dstrike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trike w:val="0"/>
          <w:dstrike w:val="0"/>
          <w:color w:val="auto"/>
          <w:sz w:val="32"/>
          <w:szCs w:val="32"/>
          <w:lang w:val="en-US" w:eastAsia="zh-CN"/>
        </w:rPr>
        <w:t>本项目系统需符合《信息安全技术网络安全等级保护基本要求》GB/T22239-2019（三级）要求（下文简称：三级等保2.0），并在三级等保2.0评审中协助完成本系统评审工作。</w:t>
      </w:r>
    </w:p>
    <w:p>
      <w:pPr>
        <w:pStyle w:val="14"/>
        <w:widowControl/>
        <w:numPr>
          <w:ilvl w:val="0"/>
          <w:numId w:val="8"/>
        </w:numPr>
        <w:wordWrap/>
        <w:adjustRightInd/>
        <w:snapToGrid/>
        <w:spacing w:before="0" w:beforeAutospacing="0" w:after="0" w:afterAutospacing="0" w:line="59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trike w:val="0"/>
          <w:dstrike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trike w:val="0"/>
          <w:dstrike w:val="0"/>
          <w:color w:val="auto"/>
          <w:sz w:val="32"/>
          <w:szCs w:val="32"/>
          <w:lang w:val="en-US" w:eastAsia="zh-CN"/>
        </w:rPr>
        <w:t>与医院现有CA数字签名功能实现对接，满足医院各法规需要。</w:t>
      </w:r>
    </w:p>
    <w:p>
      <w:pPr>
        <w:pStyle w:val="14"/>
        <w:widowControl/>
        <w:numPr>
          <w:ilvl w:val="0"/>
          <w:numId w:val="8"/>
        </w:numPr>
        <w:wordWrap/>
        <w:adjustRightInd/>
        <w:snapToGrid/>
        <w:spacing w:before="0" w:beforeAutospacing="0" w:after="0" w:afterAutospacing="0" w:line="59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trike w:val="0"/>
          <w:dstrike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trike w:val="0"/>
          <w:dstrike w:val="0"/>
          <w:color w:val="auto"/>
          <w:sz w:val="32"/>
          <w:szCs w:val="32"/>
          <w:lang w:val="en-US" w:eastAsia="zh-CN"/>
        </w:rPr>
        <w:t>本</w:t>
      </w:r>
      <w:r>
        <w:rPr>
          <w:rFonts w:hint="eastAsia" w:ascii="仿宋_GB2312" w:hAnsi="仿宋_GB2312" w:eastAsia="仿宋_GB2312" w:cs="仿宋_GB2312"/>
          <w:strike w:val="0"/>
          <w:dstrike w:val="0"/>
          <w:color w:val="auto"/>
          <w:sz w:val="32"/>
          <w:szCs w:val="32"/>
        </w:rPr>
        <w:t>项目</w:t>
      </w:r>
      <w:r>
        <w:rPr>
          <w:rFonts w:hint="eastAsia" w:ascii="仿宋_GB2312" w:hAnsi="仿宋_GB2312" w:eastAsia="仿宋_GB2312" w:cs="仿宋_GB2312"/>
          <w:strike w:val="0"/>
          <w:dstrike w:val="0"/>
          <w:color w:val="auto"/>
          <w:sz w:val="32"/>
          <w:szCs w:val="32"/>
          <w:lang w:val="en-US" w:eastAsia="zh-CN"/>
        </w:rPr>
        <w:t>系统</w:t>
      </w:r>
      <w:r>
        <w:rPr>
          <w:rFonts w:hint="eastAsia" w:ascii="仿宋_GB2312" w:hAnsi="仿宋_GB2312" w:eastAsia="仿宋_GB2312" w:cs="仿宋_GB2312"/>
          <w:strike w:val="0"/>
          <w:dstrike w:val="0"/>
          <w:color w:val="auto"/>
          <w:sz w:val="32"/>
          <w:szCs w:val="32"/>
        </w:rPr>
        <w:t>若需接入医院APP(实现院外移动端查询)，则中标人应提供H5接口，并支付相应接口费用（不超过3万元），</w:t>
      </w:r>
      <w:r>
        <w:rPr>
          <w:rFonts w:hint="eastAsia" w:ascii="仿宋_GB2312" w:hAnsi="仿宋_GB2312" w:eastAsia="仿宋_GB2312" w:cs="仿宋_GB2312"/>
          <w:strike w:val="0"/>
          <w:dstrike w:val="0"/>
          <w:color w:val="auto"/>
          <w:sz w:val="32"/>
          <w:szCs w:val="32"/>
          <w:lang w:val="en-US" w:eastAsia="zh-CN"/>
        </w:rPr>
        <w:t>是否需接入医院APP以项目验收时采购人需求为准。</w:t>
      </w:r>
    </w:p>
    <w:p>
      <w:pPr>
        <w:pStyle w:val="14"/>
        <w:widowControl/>
        <w:numPr>
          <w:ilvl w:val="0"/>
          <w:numId w:val="8"/>
        </w:numPr>
        <w:wordWrap/>
        <w:adjustRightInd/>
        <w:snapToGrid/>
        <w:spacing w:before="0" w:beforeAutospacing="0" w:after="0" w:afterAutospacing="0" w:line="59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trike w:val="0"/>
          <w:dstrike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trike w:val="0"/>
          <w:dstrike w:val="0"/>
          <w:color w:val="auto"/>
          <w:sz w:val="32"/>
          <w:szCs w:val="32"/>
          <w:lang w:val="en-US" w:eastAsia="zh-CN"/>
        </w:rPr>
        <w:t>在本项目系统软件使用及维保有效期内，本项目软件在每个使用科室使用的终端数量不受限制，数据不得加密，不得使用加密狗、打印加密、功能加密等任何软件使用约束。</w:t>
      </w:r>
    </w:p>
    <w:p>
      <w:pPr>
        <w:pStyle w:val="14"/>
        <w:widowControl/>
        <w:numPr>
          <w:ilvl w:val="0"/>
          <w:numId w:val="8"/>
        </w:numPr>
        <w:wordWrap/>
        <w:adjustRightInd/>
        <w:snapToGrid/>
        <w:spacing w:before="0" w:beforeAutospacing="0" w:after="0" w:afterAutospacing="0" w:line="59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trike w:val="0"/>
          <w:dstrike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trike w:val="0"/>
          <w:dstrike w:val="0"/>
          <w:color w:val="auto"/>
          <w:sz w:val="32"/>
          <w:szCs w:val="32"/>
          <w:lang w:val="en-US" w:eastAsia="zh-CN"/>
        </w:rPr>
        <w:t>本项目软件部分按总价进行报价，不能以安装工作站数量进行报价。</w:t>
      </w:r>
    </w:p>
    <w:p>
      <w:pPr>
        <w:pStyle w:val="14"/>
        <w:widowControl/>
        <w:numPr>
          <w:ilvl w:val="0"/>
          <w:numId w:val="8"/>
        </w:numPr>
        <w:wordWrap/>
        <w:adjustRightInd/>
        <w:snapToGrid/>
        <w:spacing w:before="0" w:beforeAutospacing="0" w:after="0" w:afterAutospacing="0" w:line="59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trike w:val="0"/>
          <w:dstrike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trike w:val="0"/>
          <w:dstrike w:val="0"/>
          <w:color w:val="auto"/>
          <w:sz w:val="32"/>
          <w:szCs w:val="32"/>
          <w:lang w:val="en-US" w:eastAsia="zh-CN"/>
        </w:rPr>
        <w:t>本项目系统需完成旧系统中的历史数据导入，旧系统中非自动产生的数据（如手工输入值等），在新系统中可不体现或以默认值体现。若有涉及接口费用，由中标方负责，采购人不再向中标人支付接口费用。</w:t>
      </w:r>
    </w:p>
    <w:p>
      <w:pPr>
        <w:pStyle w:val="14"/>
        <w:widowControl/>
        <w:numPr>
          <w:ilvl w:val="0"/>
          <w:numId w:val="8"/>
        </w:numPr>
        <w:wordWrap/>
        <w:adjustRightInd/>
        <w:snapToGrid/>
        <w:spacing w:before="0" w:beforeAutospacing="0" w:after="0" w:afterAutospacing="0" w:line="59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trike w:val="0"/>
          <w:dstrike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trike w:val="0"/>
          <w:dstrike w:val="0"/>
          <w:color w:val="auto"/>
          <w:sz w:val="32"/>
          <w:szCs w:val="32"/>
          <w:lang w:val="en-US" w:eastAsia="zh-CN"/>
        </w:rPr>
        <w:t>本项目软件版面色彩、风格等应按医院要求设计制作；软件标题只能出现医院logo及系统名称，不能出现公司名称，公司名称允许在帮助（help）的关于（about）中出现。具体版面另行通知。</w:t>
      </w:r>
    </w:p>
    <w:p>
      <w:pPr>
        <w:pStyle w:val="14"/>
        <w:widowControl/>
        <w:numPr>
          <w:ilvl w:val="0"/>
          <w:numId w:val="8"/>
        </w:numPr>
        <w:wordWrap/>
        <w:adjustRightInd/>
        <w:snapToGrid/>
        <w:spacing w:before="0" w:beforeAutospacing="0" w:after="0" w:afterAutospacing="0" w:line="59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trike w:val="0"/>
          <w:dstrike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trike w:val="0"/>
          <w:dstrike w:val="0"/>
          <w:color w:val="auto"/>
          <w:sz w:val="32"/>
          <w:szCs w:val="32"/>
          <w:lang w:val="en-US" w:eastAsia="zh-CN"/>
        </w:rPr>
        <w:t>本项目系统安装调试并经验收合格后，应对采购方的相关人员提供关于系统应用时技术和操作方面的培训。相关培训费用应包含在投标总价中。</w:t>
      </w:r>
    </w:p>
    <w:p>
      <w:pPr>
        <w:pStyle w:val="14"/>
        <w:widowControl/>
        <w:numPr>
          <w:ilvl w:val="0"/>
          <w:numId w:val="8"/>
        </w:numPr>
        <w:wordWrap/>
        <w:adjustRightInd/>
        <w:snapToGrid/>
        <w:spacing w:before="0" w:beforeAutospacing="0" w:after="0" w:afterAutospacing="0" w:line="59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trike w:val="0"/>
          <w:dstrike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trike w:val="0"/>
          <w:dstrike w:val="0"/>
          <w:color w:val="auto"/>
          <w:sz w:val="32"/>
          <w:szCs w:val="32"/>
          <w:lang w:val="en-US" w:eastAsia="zh-CN"/>
        </w:rPr>
        <w:t>由于本项目与诊疗无关，必须支持国产化操作系统、数据库及前端国产化工作站，暂时未能实现的，后续政策要求时不再另行收费，并在投标文件中出具承诺函。</w:t>
      </w:r>
    </w:p>
    <w:p>
      <w:pPr>
        <w:pStyle w:val="10"/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ind w:left="0" w:leftChars="0" w:firstLine="0" w:firstLineChars="0"/>
        <w:jc w:val="both"/>
        <w:textAlignment w:val="baseline"/>
        <w:rPr>
          <w:rFonts w:hint="eastAsia" w:ascii="仿宋_GB2312" w:hAnsi="仿宋_GB2312" w:eastAsia="仿宋_GB2312" w:cs="仿宋_GB2312"/>
          <w:b/>
          <w:bCs/>
          <w:strike w:val="0"/>
          <w:dstrike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trike w:val="0"/>
          <w:dstrike w:val="0"/>
          <w:sz w:val="32"/>
          <w:szCs w:val="32"/>
          <w:lang w:val="en-US" w:eastAsia="zh-CN"/>
        </w:rPr>
        <w:t>调研说明</w:t>
      </w:r>
    </w:p>
    <w:p>
      <w:pPr>
        <w:shd w:val="solid" w:color="FFFFFF" w:fill="auto"/>
        <w:autoSpaceDN w:val="0"/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/>
          <w:strike w:val="0"/>
          <w:dstrike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strike w:val="0"/>
          <w:dstrike w:val="0"/>
          <w:sz w:val="32"/>
          <w:szCs w:val="32"/>
          <w:shd w:val="clear" w:color="auto" w:fill="FFFFFF"/>
          <w:lang w:val="en-US" w:eastAsia="zh-CN"/>
        </w:rPr>
        <w:t>报名参加本次</w:t>
      </w:r>
      <w:r>
        <w:rPr>
          <w:rFonts w:hint="eastAsia" w:ascii="仿宋_GB2312" w:hAnsi="仿宋_GB2312" w:eastAsia="仿宋_GB2312" w:cs="仿宋_GB2312"/>
          <w:b w:val="0"/>
          <w:bCs/>
          <w:strike w:val="0"/>
          <w:dstrike w:val="0"/>
          <w:sz w:val="32"/>
          <w:szCs w:val="32"/>
          <w:shd w:val="clear" w:color="auto" w:fill="FFFFFF"/>
        </w:rPr>
        <w:t>调研</w:t>
      </w:r>
      <w:r>
        <w:rPr>
          <w:rFonts w:hint="eastAsia" w:ascii="仿宋_GB2312" w:hAnsi="仿宋_GB2312" w:eastAsia="仿宋_GB2312" w:cs="仿宋_GB2312"/>
          <w:b w:val="0"/>
          <w:bCs/>
          <w:strike w:val="0"/>
          <w:dstrike w:val="0"/>
          <w:sz w:val="32"/>
          <w:szCs w:val="32"/>
          <w:shd w:val="clear" w:color="auto" w:fill="FFFFFF"/>
          <w:lang w:val="en-US" w:eastAsia="zh-CN"/>
        </w:rPr>
        <w:t>的供应商、厂家需</w:t>
      </w:r>
      <w:r>
        <w:rPr>
          <w:rFonts w:hint="eastAsia" w:ascii="仿宋_GB2312" w:hAnsi="仿宋_GB2312" w:eastAsia="仿宋_GB2312" w:cs="仿宋_GB2312"/>
          <w:b w:val="0"/>
          <w:bCs/>
          <w:strike w:val="0"/>
          <w:dstrike w:val="0"/>
          <w:sz w:val="32"/>
          <w:szCs w:val="32"/>
          <w:shd w:val="clear" w:color="auto" w:fill="FFFFFF"/>
        </w:rPr>
        <w:t>提供如下相关资料</w:t>
      </w:r>
      <w:r>
        <w:rPr>
          <w:rFonts w:hint="eastAsia" w:ascii="仿宋_GB2312" w:hAnsi="仿宋_GB2312" w:eastAsia="仿宋_GB2312" w:cs="仿宋_GB2312"/>
          <w:b w:val="0"/>
          <w:bCs/>
          <w:strike w:val="0"/>
          <w:dstrike w:val="0"/>
          <w:sz w:val="32"/>
          <w:szCs w:val="32"/>
          <w:shd w:val="clear" w:color="auto" w:fill="FFFFFF"/>
          <w:lang w:eastAsia="zh-CN"/>
        </w:rPr>
        <w:t>。</w:t>
      </w:r>
    </w:p>
    <w:p>
      <w:pPr>
        <w:widowControl/>
        <w:numPr>
          <w:numId w:val="0"/>
        </w:numPr>
        <w:wordWrap/>
        <w:snapToGrid/>
        <w:spacing w:before="0" w:after="0" w:line="315" w:lineRule="atLeast"/>
        <w:ind w:left="0" w:leftChars="0" w:right="0" w:firstLine="640" w:firstLineChars="200"/>
        <w:jc w:val="both"/>
        <w:outlineLvl w:val="9"/>
        <w:rPr>
          <w:rFonts w:hint="eastAsia" w:ascii="仿宋_GB2312" w:hAnsi="仿宋_GB2312" w:eastAsia="仿宋_GB2312" w:cs="仿宋_GB2312"/>
          <w:strike w:val="0"/>
          <w:dstrike w:val="0"/>
          <w:color w:val="000000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trike w:val="0"/>
          <w:dstrike w:val="0"/>
          <w:color w:val="000000"/>
          <w:kern w:val="0"/>
          <w:sz w:val="32"/>
          <w:szCs w:val="32"/>
          <w:highlight w:val="none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strike w:val="0"/>
          <w:dstrike w:val="0"/>
          <w:color w:val="000000"/>
          <w:kern w:val="0"/>
          <w:sz w:val="32"/>
          <w:szCs w:val="32"/>
          <w:highlight w:val="none"/>
        </w:rPr>
        <w:t>报名请携带加盖公章的项目文件回执单、营业执照复印件、公司简介</w:t>
      </w:r>
      <w:r>
        <w:rPr>
          <w:rFonts w:hint="eastAsia" w:ascii="仿宋_GB2312" w:hAnsi="仿宋_GB2312" w:eastAsia="仿宋_GB2312" w:cs="仿宋_GB2312"/>
          <w:strike w:val="0"/>
          <w:dstrike w:val="0"/>
          <w:color w:val="000000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/>
          <w:strike w:val="0"/>
          <w:dstrike w:val="0"/>
          <w:sz w:val="32"/>
          <w:szCs w:val="32"/>
          <w:shd w:val="clear" w:color="auto" w:fill="FFFFFF"/>
        </w:rPr>
        <w:t>提供设备彩页、相关三证等</w:t>
      </w:r>
      <w:r>
        <w:rPr>
          <w:rFonts w:hint="eastAsia" w:ascii="仿宋_GB2312" w:hAnsi="仿宋_GB2312" w:eastAsia="仿宋_GB2312" w:cs="仿宋_GB2312"/>
          <w:b w:val="0"/>
          <w:bCs/>
          <w:strike w:val="0"/>
          <w:dstrike w:val="0"/>
          <w:sz w:val="32"/>
          <w:szCs w:val="32"/>
          <w:shd w:val="clear" w:color="auto" w:fill="FFFFFF"/>
          <w:lang w:eastAsia="zh-CN"/>
        </w:rPr>
        <w:t>）</w:t>
      </w:r>
      <w:r>
        <w:rPr>
          <w:rFonts w:hint="eastAsia" w:ascii="仿宋_GB2312" w:hAnsi="仿宋_GB2312" w:eastAsia="仿宋_GB2312" w:cs="仿宋_GB2312"/>
          <w:strike w:val="0"/>
          <w:dstrike w:val="0"/>
          <w:color w:val="000000"/>
          <w:kern w:val="0"/>
          <w:sz w:val="32"/>
          <w:szCs w:val="32"/>
          <w:highlight w:val="none"/>
          <w:lang w:eastAsia="zh-CN"/>
        </w:rPr>
        <w:t>。</w:t>
      </w:r>
    </w:p>
    <w:p>
      <w:pPr>
        <w:widowControl/>
        <w:shd w:val="clear" w:color="auto" w:fill="FFFFFF"/>
        <w:wordWrap/>
        <w:snapToGrid/>
        <w:spacing w:before="0" w:after="0" w:line="500" w:lineRule="atLeast"/>
        <w:ind w:left="0" w:leftChars="0" w:right="0" w:firstLine="608" w:firstLineChars="200"/>
        <w:jc w:val="both"/>
        <w:outlineLvl w:val="9"/>
        <w:rPr>
          <w:rFonts w:hint="eastAsia" w:ascii="仿宋_GB2312" w:hAnsi="仿宋_GB2312" w:eastAsia="仿宋_GB2312" w:cs="仿宋_GB2312"/>
          <w:strike w:val="0"/>
          <w:dstrike w:val="0"/>
          <w:color w:val="000000"/>
          <w:spacing w:val="-8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trike w:val="0"/>
          <w:dstrike w:val="0"/>
          <w:color w:val="000000"/>
          <w:spacing w:val="-8"/>
          <w:kern w:val="0"/>
          <w:sz w:val="32"/>
          <w:szCs w:val="32"/>
          <w:shd w:val="clear" w:color="auto" w:fill="FFFFFF"/>
        </w:rPr>
        <w:t>2、参与项目调研供应商代表的个人授权函（需加盖供应商公章）和身份证复印件。</w:t>
      </w:r>
    </w:p>
    <w:p>
      <w:pPr>
        <w:widowControl/>
        <w:shd w:val="clear" w:color="auto" w:fill="FFFFFF"/>
        <w:wordWrap/>
        <w:snapToGrid/>
        <w:spacing w:before="0" w:after="0" w:line="500" w:lineRule="atLeast"/>
        <w:ind w:left="0" w:leftChars="0" w:right="0" w:firstLine="608" w:firstLineChars="200"/>
        <w:jc w:val="both"/>
        <w:outlineLvl w:val="9"/>
        <w:rPr>
          <w:rFonts w:hint="eastAsia" w:ascii="仿宋_GB2312" w:hAnsi="仿宋_GB2312" w:eastAsia="仿宋_GB2312" w:cs="仿宋_GB2312"/>
          <w:strike w:val="0"/>
          <w:dstrike w:val="0"/>
          <w:color w:val="000000"/>
          <w:spacing w:val="-8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trike w:val="0"/>
          <w:dstrike w:val="0"/>
          <w:color w:val="000000"/>
          <w:spacing w:val="-8"/>
          <w:kern w:val="0"/>
          <w:sz w:val="32"/>
          <w:szCs w:val="32"/>
          <w:shd w:val="clear" w:color="auto" w:fill="FFFFFF"/>
        </w:rPr>
        <w:t>3、分别提供“信用中国”网站（www.creditchina.gov.cn）、“中国政府采购网”网站（http://www.ccgp.gov.cn/search/cr/）信用记录查询截图，无不良记录并加盖公章（截图查询日期必须在该公告日期内）。</w:t>
      </w:r>
    </w:p>
    <w:p>
      <w:pPr>
        <w:pStyle w:val="10"/>
        <w:numPr>
          <w:numId w:val="0"/>
        </w:numPr>
        <w:wordWrap/>
        <w:snapToGrid/>
        <w:spacing w:before="0" w:after="0"/>
        <w:ind w:left="0" w:leftChars="0" w:right="0" w:firstLine="608" w:firstLineChars="200"/>
        <w:jc w:val="both"/>
        <w:outlineLvl w:val="9"/>
        <w:rPr>
          <w:rFonts w:hint="eastAsia" w:ascii="仿宋_GB2312" w:hAnsi="仿宋_GB2312" w:eastAsia="仿宋_GB2312" w:cs="仿宋_GB2312"/>
          <w:strike w:val="0"/>
          <w:dstrike w:val="0"/>
          <w:color w:val="000000"/>
          <w:spacing w:val="-8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strike w:val="0"/>
          <w:dstrike w:val="0"/>
          <w:color w:val="000000"/>
          <w:spacing w:val="-8"/>
          <w:kern w:val="0"/>
          <w:sz w:val="32"/>
          <w:szCs w:val="32"/>
          <w:shd w:val="clear" w:color="auto" w:fill="FFFFFF"/>
        </w:rPr>
        <w:t>4、</w:t>
      </w:r>
      <w:r>
        <w:rPr>
          <w:rFonts w:hint="eastAsia" w:ascii="仿宋_GB2312" w:hAnsi="仿宋_GB2312" w:eastAsia="仿宋_GB2312" w:cs="仿宋_GB2312"/>
          <w:strike w:val="0"/>
          <w:dstrike w:val="0"/>
          <w:color w:val="000000"/>
          <w:spacing w:val="-8"/>
          <w:kern w:val="0"/>
          <w:sz w:val="32"/>
          <w:szCs w:val="32"/>
          <w:shd w:val="clear" w:color="auto" w:fill="FFFFFF"/>
          <w:lang w:val="en-US" w:eastAsia="zh-CN"/>
        </w:rPr>
        <w:t>提供业绩清单及近3年省内同类项目中标书</w:t>
      </w:r>
    </w:p>
    <w:p>
      <w:pPr>
        <w:pStyle w:val="10"/>
        <w:numPr>
          <w:numId w:val="0"/>
        </w:numPr>
        <w:wordWrap/>
        <w:snapToGrid/>
        <w:spacing w:before="0" w:after="0"/>
        <w:ind w:left="0" w:leftChars="0" w:right="0" w:firstLine="608" w:firstLineChars="200"/>
        <w:jc w:val="both"/>
        <w:outlineLvl w:val="9"/>
        <w:rPr>
          <w:rFonts w:hint="eastAsia" w:ascii="仿宋_GB2312" w:hAnsi="仿宋_GB2312" w:eastAsia="仿宋_GB2312" w:cs="仿宋_GB2312"/>
          <w:strike w:val="0"/>
          <w:dstrike w:val="0"/>
          <w:color w:val="000000"/>
          <w:spacing w:val="-8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strike w:val="0"/>
          <w:dstrike w:val="0"/>
          <w:color w:val="000000"/>
          <w:spacing w:val="-8"/>
          <w:kern w:val="0"/>
          <w:sz w:val="32"/>
          <w:szCs w:val="32"/>
          <w:shd w:val="clear" w:color="auto" w:fill="FFFFFF"/>
          <w:lang w:val="en-US" w:eastAsia="zh-CN"/>
        </w:rPr>
        <w:t>5、本调研会的报价仅做为本项目公开招标的预算限价；不做参与投标的限制条件；</w:t>
      </w:r>
    </w:p>
    <w:p>
      <w:pPr>
        <w:pStyle w:val="10"/>
        <w:numPr>
          <w:numId w:val="0"/>
        </w:numPr>
        <w:wordWrap/>
        <w:snapToGrid/>
        <w:spacing w:before="0" w:after="0"/>
        <w:ind w:left="0" w:leftChars="0" w:right="0" w:firstLine="608" w:firstLineChars="200"/>
        <w:jc w:val="both"/>
        <w:outlineLvl w:val="9"/>
        <w:rPr>
          <w:rFonts w:hint="eastAsia" w:ascii="仿宋_GB2312" w:hAnsi="仿宋_GB2312" w:eastAsia="仿宋_GB2312" w:cs="仿宋_GB2312"/>
          <w:color w:val="000000"/>
          <w:spacing w:val="-8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strike w:val="0"/>
          <w:dstrike w:val="0"/>
          <w:color w:val="000000"/>
          <w:spacing w:val="-8"/>
          <w:kern w:val="0"/>
          <w:sz w:val="32"/>
          <w:szCs w:val="32"/>
          <w:shd w:val="clear" w:color="auto" w:fill="FFFFFF"/>
          <w:lang w:val="en-US" w:eastAsia="zh-CN"/>
        </w:rPr>
        <w:t>6、上述</w:t>
      </w:r>
      <w:r>
        <w:rPr>
          <w:rFonts w:hint="eastAsia" w:ascii="仿宋_GB2312" w:hAnsi="仿宋_GB2312" w:eastAsia="仿宋_GB2312" w:cs="仿宋_GB2312"/>
          <w:color w:val="000000"/>
          <w:spacing w:val="-8"/>
          <w:kern w:val="0"/>
          <w:sz w:val="32"/>
          <w:szCs w:val="32"/>
          <w:shd w:val="clear" w:color="auto" w:fill="FFFFFF"/>
          <w:lang w:val="en-US" w:eastAsia="zh-CN"/>
        </w:rPr>
        <w:t>各参数将做为本项目招标的主要参数，不代表本项目公开招标的最终参数；</w:t>
      </w:r>
    </w:p>
    <w:p>
      <w:pPr>
        <w:pStyle w:val="10"/>
        <w:numPr>
          <w:numId w:val="0"/>
        </w:numPr>
        <w:wordWrap/>
        <w:snapToGrid/>
        <w:spacing w:before="0" w:after="0"/>
        <w:ind w:left="0" w:leftChars="0" w:right="0" w:firstLine="608" w:firstLineChars="200"/>
        <w:jc w:val="both"/>
        <w:outlineLvl w:val="9"/>
        <w:rPr>
          <w:rFonts w:hint="eastAsia" w:ascii="仿宋_GB2312" w:hAnsi="仿宋_GB2312" w:eastAsia="仿宋_GB2312" w:cs="仿宋_GB2312"/>
          <w:color w:val="000000"/>
          <w:spacing w:val="-8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-8"/>
          <w:kern w:val="0"/>
          <w:sz w:val="32"/>
          <w:szCs w:val="32"/>
          <w:shd w:val="clear" w:color="auto" w:fill="FFFFFF"/>
          <w:lang w:val="en-US" w:eastAsia="zh-CN"/>
        </w:rPr>
        <w:t>7、参加调研会的公司应准备PPT材料（含方案介绍、服务及集成能力、应用案例、报价等）、技术参数等材料，每公司讲解时间30分钟（含答疑10分钟）；同时上述材料须交予院方留档（提供U盘留档）。</w:t>
      </w:r>
    </w:p>
    <w:p>
      <w:pPr>
        <w:pStyle w:val="10"/>
        <w:numPr>
          <w:numId w:val="0"/>
        </w:numPr>
        <w:wordWrap/>
        <w:snapToGrid/>
        <w:spacing w:before="0" w:after="0"/>
        <w:ind w:left="0" w:leftChars="0" w:right="0" w:firstLine="608" w:firstLineChars="200"/>
        <w:jc w:val="both"/>
        <w:outlineLvl w:val="9"/>
        <w:rPr>
          <w:rFonts w:hint="eastAsia" w:ascii="仿宋_GB2312" w:hAnsi="仿宋_GB2312" w:eastAsia="仿宋_GB2312" w:cs="仿宋_GB2312"/>
          <w:color w:val="000000"/>
          <w:spacing w:val="-8"/>
          <w:kern w:val="0"/>
          <w:sz w:val="32"/>
          <w:szCs w:val="32"/>
          <w:shd w:val="clear" w:color="auto" w:fill="FFFFFF"/>
          <w:lang w:val="en-US" w:eastAsia="zh-CN"/>
        </w:rPr>
      </w:pPr>
    </w:p>
    <w:p>
      <w:pPr>
        <w:pStyle w:val="1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br w:type="page"/>
      </w:r>
    </w:p>
    <w:p>
      <w:pPr>
        <w:shd w:val="solid" w:color="FFFFFF" w:fill="auto"/>
        <w:autoSpaceDN w:val="0"/>
        <w:spacing w:line="420" w:lineRule="atLeast"/>
        <w:jc w:val="center"/>
        <w:rPr>
          <w:rFonts w:hint="eastAsia" w:ascii="仿宋_GB2312" w:hAnsi="仿宋_GB2312" w:eastAsia="仿宋_GB2312" w:cs="仿宋_GB2312"/>
          <w:b/>
          <w:bCs w:val="0"/>
          <w:color w:val="000000"/>
          <w:sz w:val="32"/>
          <w:szCs w:val="32"/>
          <w:shd w:val="clear" w:color="auto" w:fill="FFFFFF"/>
        </w:rPr>
      </w:pPr>
    </w:p>
    <w:p>
      <w:pPr>
        <w:shd w:val="solid" w:color="FFFFFF" w:fill="auto"/>
        <w:autoSpaceDN w:val="0"/>
        <w:spacing w:line="420" w:lineRule="atLeast"/>
        <w:jc w:val="center"/>
        <w:rPr>
          <w:rFonts w:hint="eastAsia" w:ascii="仿宋_GB2312" w:hAnsi="仿宋_GB2312" w:eastAsia="仿宋_GB2312" w:cs="仿宋_GB2312"/>
          <w:b/>
          <w:bCs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 w:val="0"/>
          <w:color w:val="000000"/>
          <w:sz w:val="32"/>
          <w:szCs w:val="32"/>
          <w:shd w:val="clear" w:color="auto" w:fill="FFFFFF"/>
        </w:rPr>
        <w:t>项目文件回执单</w:t>
      </w:r>
    </w:p>
    <w:p>
      <w:pPr>
        <w:shd w:val="solid" w:color="FFFFFF" w:fill="auto"/>
        <w:autoSpaceDN w:val="0"/>
        <w:spacing w:line="420" w:lineRule="atLeas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  <w:t>请有意向参与的公司在项目公示期内携带回执单至福建省肿瘤医院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  <w:lang w:val="en-US" w:eastAsia="zh-CN"/>
        </w:rPr>
        <w:t>网络技术中心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  <w:t>报名。</w:t>
      </w:r>
    </w:p>
    <w:tbl>
      <w:tblPr>
        <w:tblW w:w="8154" w:type="dxa"/>
        <w:tblInd w:w="35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40"/>
        <w:gridCol w:w="2651"/>
        <w:gridCol w:w="2115"/>
        <w:gridCol w:w="224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exact"/>
        </w:trPr>
        <w:tc>
          <w:tcPr>
            <w:tcW w:w="1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spacing w:line="42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shd w:val="clear" w:color="auto" w:fill="FFFFFF"/>
              </w:rPr>
              <w:t>序号</w:t>
            </w:r>
          </w:p>
        </w:tc>
        <w:tc>
          <w:tcPr>
            <w:tcW w:w="265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spacing w:line="42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shd w:val="clear" w:color="auto" w:fill="FFFFFF"/>
                <w:lang w:val="en-US" w:eastAsia="zh-CN"/>
              </w:rPr>
              <w:t>项目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shd w:val="clear" w:color="auto" w:fill="FFFFFF"/>
              </w:rPr>
              <w:t>名称</w:t>
            </w:r>
          </w:p>
        </w:tc>
        <w:tc>
          <w:tcPr>
            <w:tcW w:w="211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spacing w:line="42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shd w:val="clear" w:color="auto" w:fill="FFFFFF"/>
              </w:rPr>
              <w:t>数量</w:t>
            </w:r>
          </w:p>
        </w:tc>
        <w:tc>
          <w:tcPr>
            <w:tcW w:w="224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spacing w:line="42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shd w:val="clear" w:color="auto" w:fill="FFFFFF"/>
              </w:rPr>
              <w:t>品牌及型号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1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spacing w:line="42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26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spacing w:line="420" w:lineRule="atLeast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21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spacing w:line="420" w:lineRule="atLeast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22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spacing w:line="420" w:lineRule="atLeast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shd w:val="clear" w:color="auto" w:fill="FFFFFF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1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spacing w:line="42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26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spacing w:line="420" w:lineRule="atLeast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21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spacing w:line="420" w:lineRule="atLeast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22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spacing w:line="420" w:lineRule="atLeast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shd w:val="clear" w:color="auto" w:fill="FFFFFF"/>
              </w:rPr>
            </w:pPr>
          </w:p>
        </w:tc>
      </w:tr>
    </w:tbl>
    <w:p>
      <w:pPr>
        <w:shd w:val="solid" w:color="FFFFFF" w:fill="auto"/>
        <w:autoSpaceDN w:val="0"/>
        <w:spacing w:line="420" w:lineRule="atLeast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</w:pPr>
    </w:p>
    <w:p>
      <w:pPr>
        <w:shd w:val="solid" w:color="FFFFFF" w:fill="auto"/>
        <w:autoSpaceDN w:val="0"/>
        <w:spacing w:line="500" w:lineRule="exact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</w:pPr>
    </w:p>
    <w:p>
      <w:pPr>
        <w:shd w:val="solid" w:color="FFFFFF" w:fill="auto"/>
        <w:autoSpaceDN w:val="0"/>
        <w:spacing w:line="500" w:lineRule="exact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  <w:t>公司名称：</w:t>
      </w:r>
    </w:p>
    <w:p>
      <w:pPr>
        <w:shd w:val="solid" w:color="FFFFFF" w:fill="auto"/>
        <w:autoSpaceDN w:val="0"/>
        <w:spacing w:line="500" w:lineRule="exact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  <w:t xml:space="preserve">联系人：　 </w:t>
      </w:r>
    </w:p>
    <w:p>
      <w:pPr>
        <w:shd w:val="solid" w:color="FFFFFF" w:fill="auto"/>
        <w:autoSpaceDN w:val="0"/>
        <w:spacing w:line="500" w:lineRule="exact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  <w:t>联系电话：</w:t>
      </w:r>
    </w:p>
    <w:p>
      <w:pPr>
        <w:shd w:val="solid" w:color="FFFFFF" w:fill="auto"/>
        <w:autoSpaceDN w:val="0"/>
        <w:spacing w:line="500" w:lineRule="exact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  <w:t>公司盖章：</w:t>
      </w:r>
    </w:p>
    <w:p>
      <w:pPr>
        <w:shd w:val="solid" w:color="FFFFFF" w:fill="auto"/>
        <w:autoSpaceDN w:val="0"/>
        <w:spacing w:line="500" w:lineRule="exact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</w:pPr>
    </w:p>
    <w:p>
      <w:pPr>
        <w:pStyle w:val="10"/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</w:pPr>
    </w:p>
    <w:p>
      <w:pPr>
        <w:pStyle w:val="10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                                       福建省肿瘤医院</w:t>
      </w:r>
    </w:p>
    <w:p>
      <w:pPr>
        <w:pStyle w:val="10"/>
        <w:rPr>
          <w:rFonts w:hint="default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                                          年  月  日</w:t>
      </w:r>
    </w:p>
    <w:bookmarkEnd w:id="4"/>
    <w:sectPr>
      <w:footerReference r:id="rId4" w:type="default"/>
      <w:pgSz w:w="12240" w:h="15840"/>
      <w:pgMar w:top="1134" w:right="1587" w:bottom="1134" w:left="1587" w:header="720" w:footer="720" w:gutter="0"/>
      <w:cols w:space="720" w:num="1"/>
      <w:docGrid w:type="lines"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Helvetica">
    <w:altName w:val="Arial"/>
    <w:panose1 w:val="020B0604020202020204"/>
    <w:charset w:val="00"/>
    <w:family w:val="auto"/>
    <w:pitch w:val="default"/>
    <w:sig w:usb0="00000000" w:usb1="00000000" w:usb2="00000000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6"/>
    </w:pPr>
    <w:r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  <w:pict>
        <v:rect id="Quad Arrow 1025" o:spid="_x0000_s1025" style="position:absolute;left:0;margin-top:0pt;height:12.8pt;width:5.35pt;mso-position-horizontal:center;mso-position-horizontal-relative:margin;mso-wrap-style:none;rotation:0f;z-index:251658240;" o:ole="f" fillcolor="#FFFFFF" filled="f" o:preferrelative="t" stroked="f" coordsize="21600,21600">
          <v:fill on="f" color2="#FFFFFF" focus="0%"/>
          <v:imagedata gain="65536f" blacklevel="0f" gamma="0"/>
          <o:lock v:ext="edit" position="f" selection="f" grouping="f" rotation="f" cropping="f" text="f" aspectratio="f"/>
          <v:textbox inset="0.00pt,0.00pt,0.00pt,0.00pt" style="mso-fit-shape-to-text:t;">
            <w:txbxContent>
              <w:p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>
                  <w:t>1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</v:rect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729150676">
    <w:nsid w:val="6710BED4"/>
    <w:multiLevelType w:val="singleLevel"/>
    <w:tmpl w:val="6710BED4"/>
    <w:lvl w:ilvl="0" w:tentative="1">
      <w:start w:val="1"/>
      <w:numFmt w:val="decimal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1398085122">
    <w:nsid w:val="53551602"/>
    <w:multiLevelType w:val="singleLevel"/>
    <w:tmpl w:val="53551602"/>
    <w:lvl w:ilvl="0" w:tentative="1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729150147">
    <w:nsid w:val="6710BCC3"/>
    <w:multiLevelType w:val="singleLevel"/>
    <w:tmpl w:val="6710BCC3"/>
    <w:lvl w:ilvl="0" w:tentative="1">
      <w:start w:val="1"/>
      <w:numFmt w:val="decimal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558299256">
    <w:nsid w:val="2146F878"/>
    <w:multiLevelType w:val="singleLevel"/>
    <w:tmpl w:val="2146F878"/>
    <w:lvl w:ilvl="0" w:tentative="1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3929164981">
    <w:nsid w:val="EA324CB5"/>
    <w:multiLevelType w:val="singleLevel"/>
    <w:tmpl w:val="EA324CB5"/>
    <w:lvl w:ilvl="0" w:tentative="1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675063653">
    <w:nsid w:val="63D77165"/>
    <w:multiLevelType w:val="singleLevel"/>
    <w:tmpl w:val="63D77165"/>
    <w:lvl w:ilvl="0" w:tentative="1">
      <w:start w:val="2"/>
      <w:numFmt w:val="decimal"/>
      <w:suff w:val="nothing"/>
      <w:lvlText w:val="%1、"/>
      <w:lvlJc w:val="left"/>
    </w:lvl>
  </w:abstractNum>
  <w:abstractNum w:abstractNumId="1359913176">
    <w:nsid w:val="510EA0D8"/>
    <w:multiLevelType w:val="singleLevel"/>
    <w:tmpl w:val="510EA0D8"/>
    <w:lvl w:ilvl="0" w:tentative="1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3632381608">
    <w:nsid w:val="D881BEA8"/>
    <w:multiLevelType w:val="singleLevel"/>
    <w:tmpl w:val="D881BEA8"/>
    <w:lvl w:ilvl="0" w:tentative="1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1359913176"/>
  </w:num>
  <w:num w:numId="2">
    <w:abstractNumId w:val="1729150147"/>
  </w:num>
  <w:num w:numId="3">
    <w:abstractNumId w:val="1729150676"/>
  </w:num>
  <w:num w:numId="4">
    <w:abstractNumId w:val="558299256"/>
  </w:num>
  <w:num w:numId="5">
    <w:abstractNumId w:val="3632381608"/>
  </w:num>
  <w:num w:numId="6">
    <w:abstractNumId w:val="3929164981"/>
  </w:num>
  <w:num w:numId="7">
    <w:abstractNumId w:val="1398085122"/>
  </w:num>
  <w:num w:numId="8">
    <w:abstractNumId w:val="167506365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docVars>
    <w:docVar w:name="commondata" w:val="eyJoZGlkIjoiNGYzY2RkZjc0YWU1MWIyMTI5ZGY4YjQ1NjU0MTk3NTgifQ=="/>
  </w:docVar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annotation subject"/>
    <w:lsdException w:unhideWhenUsed="0" w:uiPriority="0" w:semiHidden="0" w:name="Balloon Text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napToGrid w:val="0"/>
      <w:spacing w:line="300" w:lineRule="auto"/>
      <w:ind w:firstLine="200" w:firstLineChars="200"/>
      <w:outlineLvl w:val="1"/>
    </w:pPr>
    <w:rPr>
      <w:rFonts w:ascii="Arial" w:hAnsi="Arial"/>
      <w:b/>
      <w:bCs/>
      <w:szCs w:val="32"/>
    </w:rPr>
  </w:style>
  <w:style w:type="character" w:default="1" w:styleId="8">
    <w:name w:val="Default Paragraph Font"/>
    <w:semiHidden/>
    <w:qFormat/>
    <w:uiPriority w:val="0"/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"/>
    <w:basedOn w:val="1"/>
    <w:next w:val="1"/>
    <w:unhideWhenUsed/>
    <w:qFormat/>
    <w:uiPriority w:val="99"/>
    <w:rPr>
      <w:rFonts w:ascii="仿宋_GB2312" w:eastAsia="仿宋_GB2312"/>
      <w:sz w:val="32"/>
    </w:rPr>
  </w:style>
  <w:style w:type="paragraph" w:styleId="6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line="336" w:lineRule="auto"/>
      <w:jc w:val="left"/>
    </w:pPr>
    <w:rPr>
      <w:rFonts w:ascii="宋体" w:hAnsi="宋体"/>
      <w:kern w:val="0"/>
      <w:sz w:val="24"/>
    </w:rPr>
  </w:style>
  <w:style w:type="character" w:styleId="9">
    <w:name w:val="Strong"/>
    <w:qFormat/>
    <w:uiPriority w:val="0"/>
    <w:rPr>
      <w:b/>
    </w:rPr>
  </w:style>
  <w:style w:type="paragraph" w:customStyle="1" w:styleId="10">
    <w:name w:val="Fließtext"/>
    <w:basedOn w:val="1"/>
    <w:qFormat/>
    <w:uiPriority w:val="0"/>
    <w:pPr>
      <w:overflowPunct w:val="0"/>
      <w:autoSpaceDE w:val="0"/>
      <w:autoSpaceDN w:val="0"/>
      <w:adjustRightInd w:val="0"/>
      <w:textAlignment w:val="baseline"/>
    </w:pPr>
    <w:rPr>
      <w:rFonts w:eastAsia="仿宋_GB2312"/>
      <w:kern w:val="28"/>
      <w:sz w:val="24"/>
      <w:szCs w:val="20"/>
    </w:rPr>
  </w:style>
  <w:style w:type="paragraph" w:customStyle="1" w:styleId="11">
    <w:name w:val="Quote"/>
    <w:basedOn w:val="1"/>
    <w:next w:val="1"/>
    <w:qFormat/>
    <w:uiPriority w:val="29"/>
    <w:pPr>
      <w:spacing w:beforeLines="50" w:afterLines="50" w:line="360" w:lineRule="auto"/>
    </w:pPr>
    <w:rPr>
      <w:i/>
      <w:iCs/>
      <w:color w:val="000000"/>
      <w:lang w:val="zh-CN"/>
    </w:rPr>
  </w:style>
  <w:style w:type="paragraph" w:customStyle="1" w:styleId="12">
    <w:name w:val="xl35"/>
    <w:basedOn w:val="1"/>
    <w:qFormat/>
    <w:uiPriority w:val="0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13">
    <w:name w:val="List Paragraph"/>
    <w:basedOn w:val="1"/>
    <w:qFormat/>
    <w:uiPriority w:val="34"/>
    <w:pPr>
      <w:ind w:firstLine="420" w:firstLineChars="200"/>
    </w:pPr>
  </w:style>
  <w:style w:type="paragraph" w:customStyle="1" w:styleId="14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5">
    <w:name w:val="null3"/>
    <w:qFormat/>
    <w:uiPriority w:val="0"/>
    <w:rPr>
      <w:rFonts w:hint="eastAsia" w:ascii="Calibri" w:hAnsi="Calibri" w:eastAsia="宋体" w:cs="Times New Roman"/>
      <w:lang w:val="en-US" w:eastAsia="zh-CN" w:bidi="ar-SA"/>
    </w:rPr>
  </w:style>
  <w:style w:type="paragraph" w:customStyle="1" w:styleId="16">
    <w:name w:val="列出段落1"/>
    <w:basedOn w:val="1"/>
    <w:qFormat/>
    <w:uiPriority w:val="34"/>
    <w:pPr>
      <w:widowControl w:val="0"/>
      <w:ind w:firstLine="420" w:firstLineChars="200"/>
      <w:jc w:val="both"/>
    </w:pPr>
    <w:rPr>
      <w:rFonts w:ascii="Calibri" w:hAnsi="Calibri" w:eastAsia="宋体" w:cs="黑体"/>
      <w:kern w:val="2"/>
      <w:sz w:val="21"/>
    </w:rPr>
  </w:style>
  <w:style w:type="paragraph" w:customStyle="1" w:styleId="17">
    <w:name w:val="Free Form"/>
    <w:qFormat/>
    <w:uiPriority w:val="0"/>
    <w:rPr>
      <w:rFonts w:ascii="Helvetica" w:hAnsi="Helvetica" w:eastAsia="Helvetica" w:cs="Helvetica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footer" Target="footer1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Relationship Id="rId7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4867</Words>
  <Characters>5057</Characters>
  <Lines>0</Lines>
  <Paragraphs>0</Paragraphs>
  <TotalTime>0</TotalTime>
  <ScaleCrop>false</ScaleCrop>
  <LinksUpToDate>false</LinksUpToDate>
  <CharactersWithSpaces>0</CharactersWithSpaces>
  <Application>WPS Office 专业版_8.1.0.0_{F1E327BC-269C-435d-A152-05C5408002CA}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2023-05-30T22:42:00Z</dcterms:created>
  <dc:creator>Admin</dc:creator>
  <cp:lastModifiedBy>Admin</cp:lastModifiedBy>
  <cp:lastPrinted>2023-06-20T23:45:00Z</cp:lastPrinted>
  <dcterms:modified xsi:type="dcterms:W3CDTF">2024-10-24T00:55:43Z</dcterms:modified>
  <dc:title>设备科：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2052-8.1.0.0</vt:lpwstr>
  </property>
  <property fmtid="{D5CDD505-2E9C-101B-9397-08002B2CF9AE}" pid="3" name="ICV">
    <vt:lpwstr>E6BDA982545C4D6A8739711ADEF92FF1_13</vt:lpwstr>
  </property>
</Properties>
</file>