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18CFAB">
      <w:pPr>
        <w:adjustRightInd/>
        <w:snapToGrid/>
        <w:spacing w:after="0" w:line="480" w:lineRule="atLeast"/>
        <w:jc w:val="center"/>
        <w:rPr>
          <w:rFonts w:hint="eastAsia" w:ascii="宋体" w:hAnsi="宋体" w:eastAsia="宋体" w:cs="宋体"/>
          <w:b/>
          <w:bCs/>
          <w:color w:val="404040"/>
          <w:sz w:val="32"/>
          <w:szCs w:val="32"/>
          <w:highlight w:val="none"/>
        </w:rPr>
      </w:pPr>
      <w:r>
        <w:rPr>
          <w:rFonts w:ascii="宋体" w:hAnsi="宋体" w:eastAsia="宋体" w:cs="宋体"/>
          <w:b/>
          <w:bCs/>
          <w:color w:val="404040"/>
          <w:sz w:val="32"/>
          <w:szCs w:val="32"/>
          <w:highlight w:val="none"/>
        </w:rPr>
        <w:t>福建省肿瘤医院</w:t>
      </w:r>
      <w:r>
        <w:rPr>
          <w:rFonts w:hint="eastAsia" w:ascii="宋体" w:hAnsi="宋体" w:eastAsia="宋体" w:cs="宋体"/>
          <w:b/>
          <w:bCs/>
          <w:color w:val="404040"/>
          <w:sz w:val="32"/>
          <w:szCs w:val="32"/>
          <w:highlight w:val="none"/>
        </w:rPr>
        <w:t>电梯物联网监控采购</w:t>
      </w:r>
    </w:p>
    <w:p w14:paraId="3D60E581">
      <w:pPr>
        <w:adjustRightInd/>
        <w:snapToGrid/>
        <w:spacing w:after="0" w:line="480" w:lineRule="atLeast"/>
        <w:jc w:val="center"/>
        <w:rPr>
          <w:rFonts w:hint="eastAsia" w:ascii="宋体" w:hAnsi="宋体" w:eastAsia="宋体" w:cs="宋体"/>
          <w:b/>
          <w:bCs/>
          <w:color w:val="404040"/>
          <w:sz w:val="32"/>
          <w:szCs w:val="32"/>
          <w:highlight w:val="none"/>
        </w:rPr>
      </w:pPr>
      <w:r>
        <w:rPr>
          <w:rFonts w:hint="eastAsia" w:ascii="宋体" w:hAnsi="宋体" w:eastAsia="宋体" w:cs="宋体"/>
          <w:b/>
          <w:bCs/>
          <w:color w:val="404040"/>
          <w:sz w:val="32"/>
          <w:szCs w:val="32"/>
          <w:highlight w:val="none"/>
        </w:rPr>
        <w:t>项目招标公告</w:t>
      </w:r>
    </w:p>
    <w:p w14:paraId="06B79731">
      <w:pPr>
        <w:adjustRightInd/>
        <w:snapToGrid/>
        <w:spacing w:before="150" w:after="0" w:line="480" w:lineRule="atLeast"/>
        <w:jc w:val="both"/>
        <w:rPr>
          <w:rFonts w:hint="eastAsia" w:ascii="宋体" w:hAnsi="宋体" w:eastAsia="宋体" w:cs="宋体"/>
          <w:color w:val="404040"/>
          <w:sz w:val="28"/>
          <w:szCs w:val="28"/>
          <w:highlight w:val="none"/>
        </w:rPr>
      </w:pPr>
      <w:r>
        <w:rPr>
          <w:rFonts w:hint="eastAsia" w:ascii="宋体" w:hAnsi="宋体" w:eastAsia="宋体" w:cs="宋体"/>
          <w:b/>
          <w:bCs/>
          <w:color w:val="404040"/>
          <w:sz w:val="26"/>
          <w:highlight w:val="none"/>
        </w:rPr>
        <w:t>一、招标项目概况和范围</w:t>
      </w:r>
    </w:p>
    <w:p w14:paraId="01BC50FE">
      <w:pPr>
        <w:adjustRightInd/>
        <w:snapToGrid/>
        <w:spacing w:before="150" w:after="0" w:line="480" w:lineRule="atLeast"/>
        <w:ind w:firstLine="480"/>
        <w:jc w:val="both"/>
        <w:rPr>
          <w:rFonts w:hint="eastAsia" w:ascii="宋体" w:hAnsi="宋体" w:eastAsia="宋体" w:cs="宋体"/>
          <w:color w:val="404040"/>
          <w:sz w:val="26"/>
          <w:szCs w:val="26"/>
          <w:highlight w:val="none"/>
        </w:rPr>
      </w:pPr>
      <w:r>
        <w:rPr>
          <w:rFonts w:hint="eastAsia" w:ascii="宋体" w:hAnsi="宋体" w:eastAsia="宋体" w:cs="宋体"/>
          <w:color w:val="404040"/>
          <w:sz w:val="26"/>
          <w:szCs w:val="26"/>
          <w:highlight w:val="none"/>
        </w:rPr>
        <w:t>1、项目名称：福建省肿瘤医院电梯物联网监控采购</w:t>
      </w:r>
    </w:p>
    <w:p w14:paraId="249441F8">
      <w:pPr>
        <w:adjustRightInd/>
        <w:snapToGrid/>
        <w:spacing w:before="150" w:after="0" w:line="480" w:lineRule="atLeast"/>
        <w:ind w:firstLine="480"/>
        <w:jc w:val="both"/>
        <w:rPr>
          <w:rFonts w:hint="eastAsia" w:ascii="宋体" w:hAnsi="宋体" w:eastAsia="宋体" w:cs="宋体"/>
          <w:color w:val="404040"/>
          <w:sz w:val="26"/>
          <w:szCs w:val="26"/>
          <w:highlight w:val="none"/>
        </w:rPr>
      </w:pPr>
      <w:r>
        <w:rPr>
          <w:rFonts w:hint="eastAsia" w:ascii="宋体" w:hAnsi="宋体" w:eastAsia="宋体" w:cs="宋体"/>
          <w:color w:val="404040"/>
          <w:sz w:val="26"/>
          <w:szCs w:val="26"/>
          <w:highlight w:val="none"/>
        </w:rPr>
        <w:t>2、项目地点：福马路420号</w:t>
      </w:r>
    </w:p>
    <w:p w14:paraId="0124EBB5">
      <w:pPr>
        <w:adjustRightInd/>
        <w:snapToGrid/>
        <w:spacing w:before="150" w:after="0" w:line="480" w:lineRule="atLeast"/>
        <w:ind w:firstLine="480"/>
        <w:jc w:val="both"/>
        <w:rPr>
          <w:rFonts w:hint="eastAsia" w:ascii="宋体" w:hAnsi="宋体" w:eastAsia="宋体" w:cs="宋体"/>
          <w:color w:val="404040"/>
          <w:sz w:val="26"/>
          <w:szCs w:val="26"/>
          <w:highlight w:val="none"/>
        </w:rPr>
      </w:pPr>
      <w:r>
        <w:rPr>
          <w:rFonts w:hint="eastAsia" w:ascii="宋体" w:hAnsi="宋体" w:eastAsia="宋体" w:cs="宋体"/>
          <w:color w:val="404040"/>
          <w:sz w:val="26"/>
          <w:szCs w:val="26"/>
          <w:highlight w:val="none"/>
        </w:rPr>
        <w:t>3、招标范围和内容：详见附件</w:t>
      </w:r>
    </w:p>
    <w:p w14:paraId="4FB74750">
      <w:pPr>
        <w:adjustRightInd/>
        <w:snapToGrid/>
        <w:spacing w:before="150" w:after="0" w:line="480" w:lineRule="atLeast"/>
        <w:jc w:val="both"/>
        <w:rPr>
          <w:rFonts w:hint="eastAsia" w:ascii="宋体" w:hAnsi="宋体" w:eastAsia="宋体" w:cs="宋体"/>
          <w:b/>
          <w:bCs/>
          <w:color w:val="404040"/>
          <w:sz w:val="26"/>
          <w:highlight w:val="none"/>
        </w:rPr>
      </w:pPr>
      <w:r>
        <w:rPr>
          <w:rFonts w:hint="eastAsia" w:ascii="宋体" w:hAnsi="宋体" w:eastAsia="宋体" w:cs="宋体"/>
          <w:b/>
          <w:bCs/>
          <w:color w:val="404040"/>
          <w:sz w:val="26"/>
          <w:highlight w:val="none"/>
        </w:rPr>
        <w:t>二、投标人资格要求及审查办法</w:t>
      </w:r>
    </w:p>
    <w:p w14:paraId="1CFD3CAF">
      <w:pPr>
        <w:adjustRightInd/>
        <w:snapToGrid/>
        <w:spacing w:before="150" w:after="0" w:line="480" w:lineRule="atLeast"/>
        <w:ind w:firstLine="480"/>
        <w:jc w:val="both"/>
        <w:rPr>
          <w:rFonts w:hint="eastAsia" w:ascii="宋体" w:hAnsi="宋体" w:eastAsia="宋体" w:cs="宋体"/>
          <w:color w:val="404040"/>
          <w:sz w:val="26"/>
          <w:szCs w:val="26"/>
          <w:highlight w:val="none"/>
        </w:rPr>
      </w:pPr>
      <w:r>
        <w:rPr>
          <w:rFonts w:hint="eastAsia" w:ascii="宋体" w:hAnsi="宋体" w:eastAsia="宋体" w:cs="宋体"/>
          <w:color w:val="404040"/>
          <w:sz w:val="26"/>
          <w:szCs w:val="26"/>
          <w:highlight w:val="none"/>
        </w:rPr>
        <w:t>1、满足《中华人民共和国政府采购法》第二十二条规定。</w:t>
      </w:r>
    </w:p>
    <w:p w14:paraId="16CA1680">
      <w:pPr>
        <w:adjustRightInd/>
        <w:snapToGrid/>
        <w:spacing w:before="150" w:after="0" w:line="480" w:lineRule="atLeast"/>
        <w:ind w:firstLine="480"/>
        <w:jc w:val="both"/>
        <w:rPr>
          <w:rFonts w:hint="eastAsia" w:ascii="宋体" w:hAnsi="宋体" w:eastAsia="宋体" w:cs="宋体"/>
          <w:color w:val="404040"/>
          <w:sz w:val="26"/>
          <w:szCs w:val="26"/>
          <w:highlight w:val="none"/>
        </w:rPr>
      </w:pPr>
      <w:r>
        <w:rPr>
          <w:rFonts w:hint="eastAsia" w:ascii="宋体" w:hAnsi="宋体" w:eastAsia="宋体" w:cs="宋体"/>
          <w:color w:val="404040"/>
          <w:sz w:val="26"/>
          <w:szCs w:val="26"/>
          <w:highlight w:val="none"/>
        </w:rPr>
        <w:t>2、落实政府采购政策需满足的资格要求。</w:t>
      </w:r>
    </w:p>
    <w:p w14:paraId="62227D11">
      <w:pPr>
        <w:adjustRightInd/>
        <w:snapToGrid/>
        <w:spacing w:before="150" w:after="0" w:line="480" w:lineRule="atLeast"/>
        <w:ind w:firstLine="480"/>
        <w:jc w:val="both"/>
        <w:rPr>
          <w:rFonts w:hint="eastAsia" w:ascii="宋体" w:hAnsi="宋体" w:eastAsia="宋体" w:cs="宋体"/>
          <w:color w:val="404040"/>
          <w:sz w:val="26"/>
          <w:szCs w:val="26"/>
          <w:highlight w:val="none"/>
        </w:rPr>
      </w:pPr>
      <w:r>
        <w:rPr>
          <w:rFonts w:hint="eastAsia" w:ascii="宋体" w:hAnsi="宋体" w:eastAsia="宋体" w:cs="宋体"/>
          <w:color w:val="404040"/>
          <w:sz w:val="26"/>
          <w:szCs w:val="26"/>
          <w:highlight w:val="none"/>
        </w:rPr>
        <w:t>3、委托代表人资格证明书（附法人及委托人身份证）。</w:t>
      </w:r>
    </w:p>
    <w:p w14:paraId="35D15868">
      <w:pPr>
        <w:adjustRightInd/>
        <w:snapToGrid/>
        <w:spacing w:before="150" w:after="0" w:line="480" w:lineRule="atLeast"/>
        <w:ind w:firstLine="480"/>
        <w:jc w:val="both"/>
        <w:rPr>
          <w:rFonts w:hint="eastAsia" w:ascii="宋体" w:hAnsi="宋体" w:eastAsia="宋体" w:cs="宋体"/>
          <w:color w:val="404040"/>
          <w:sz w:val="26"/>
          <w:szCs w:val="26"/>
          <w:highlight w:val="none"/>
        </w:rPr>
      </w:pPr>
      <w:r>
        <w:rPr>
          <w:rFonts w:hint="eastAsia" w:ascii="宋体" w:hAnsi="宋体" w:eastAsia="宋体" w:cs="宋体"/>
          <w:color w:val="404040"/>
          <w:sz w:val="26"/>
          <w:szCs w:val="26"/>
          <w:highlight w:val="none"/>
        </w:rPr>
        <w:t>4、财务状况报告（最近一个年度经审计的财务报告或资信证明或投标担保函）；</w:t>
      </w:r>
    </w:p>
    <w:p w14:paraId="17FCBBE8">
      <w:pPr>
        <w:adjustRightInd/>
        <w:snapToGrid/>
        <w:spacing w:before="150" w:after="0" w:line="480" w:lineRule="atLeast"/>
        <w:ind w:firstLine="480"/>
        <w:jc w:val="both"/>
        <w:rPr>
          <w:rFonts w:hint="eastAsia" w:ascii="宋体" w:hAnsi="宋体" w:eastAsia="宋体" w:cs="宋体"/>
          <w:color w:val="404040"/>
          <w:sz w:val="26"/>
          <w:szCs w:val="26"/>
          <w:highlight w:val="none"/>
        </w:rPr>
      </w:pPr>
      <w:r>
        <w:rPr>
          <w:rFonts w:hint="eastAsia" w:ascii="宋体" w:hAnsi="宋体" w:eastAsia="宋体" w:cs="宋体"/>
          <w:color w:val="404040"/>
          <w:sz w:val="26"/>
          <w:szCs w:val="26"/>
          <w:highlight w:val="none"/>
        </w:rPr>
        <w:t>5、参加本次活动前三年内，在经营活动中没有重大违法违规记录的承诺。</w:t>
      </w:r>
    </w:p>
    <w:p w14:paraId="14CFA1D6">
      <w:pPr>
        <w:adjustRightInd/>
        <w:snapToGrid/>
        <w:spacing w:before="150" w:after="0" w:line="480" w:lineRule="atLeast"/>
        <w:ind w:firstLine="480"/>
        <w:jc w:val="both"/>
        <w:rPr>
          <w:rFonts w:hint="eastAsia" w:ascii="宋体" w:hAnsi="宋体" w:eastAsia="宋体" w:cs="宋体"/>
          <w:color w:val="404040"/>
          <w:sz w:val="26"/>
          <w:szCs w:val="26"/>
          <w:highlight w:val="none"/>
        </w:rPr>
      </w:pPr>
      <w:r>
        <w:rPr>
          <w:rFonts w:hint="eastAsia" w:ascii="宋体" w:hAnsi="宋体" w:eastAsia="宋体" w:cs="宋体"/>
          <w:color w:val="404040"/>
          <w:sz w:val="26"/>
          <w:szCs w:val="26"/>
          <w:highlight w:val="none"/>
        </w:rPr>
        <w:t>6、资格审查采用方式：资格后审。</w:t>
      </w:r>
    </w:p>
    <w:p w14:paraId="12A654A1">
      <w:pPr>
        <w:adjustRightInd/>
        <w:snapToGrid/>
        <w:spacing w:before="150" w:after="0" w:line="480" w:lineRule="atLeast"/>
        <w:ind w:firstLine="480"/>
        <w:jc w:val="both"/>
        <w:rPr>
          <w:rFonts w:hint="eastAsia" w:ascii="宋体" w:hAnsi="宋体" w:eastAsia="宋体" w:cs="宋体"/>
          <w:color w:val="404040"/>
          <w:sz w:val="26"/>
          <w:szCs w:val="26"/>
          <w:highlight w:val="none"/>
        </w:rPr>
      </w:pPr>
      <w:r>
        <w:rPr>
          <w:rFonts w:hint="eastAsia" w:ascii="宋体" w:hAnsi="宋体" w:eastAsia="宋体" w:cs="宋体"/>
          <w:color w:val="404040"/>
          <w:sz w:val="26"/>
          <w:szCs w:val="26"/>
          <w:highlight w:val="none"/>
        </w:rPr>
        <w:t>7、本招标项目不接受联合体投标，不接受备选投标方案，不允许分包。</w:t>
      </w:r>
    </w:p>
    <w:p w14:paraId="360648AD">
      <w:pPr>
        <w:adjustRightInd/>
        <w:snapToGrid/>
        <w:spacing w:before="150" w:after="0" w:line="480" w:lineRule="atLeast"/>
        <w:ind w:firstLine="480"/>
        <w:jc w:val="both"/>
        <w:rPr>
          <w:rFonts w:hint="eastAsia" w:ascii="宋体" w:hAnsi="宋体" w:eastAsia="宋体" w:cs="宋体"/>
          <w:color w:val="404040"/>
          <w:sz w:val="26"/>
          <w:szCs w:val="26"/>
          <w:highlight w:val="none"/>
        </w:rPr>
      </w:pPr>
      <w:r>
        <w:rPr>
          <w:rFonts w:hint="eastAsia" w:ascii="宋体" w:hAnsi="宋体" w:eastAsia="宋体" w:cs="宋体"/>
          <w:color w:val="404040"/>
          <w:sz w:val="26"/>
          <w:szCs w:val="26"/>
          <w:highlight w:val="none"/>
        </w:rPr>
        <w:t>8、投标人应通过“信用中国（</w:t>
      </w:r>
      <w:r>
        <w:rPr>
          <w:highlight w:val="none"/>
        </w:rPr>
        <w:fldChar w:fldCharType="begin"/>
      </w:r>
      <w:r>
        <w:rPr>
          <w:highlight w:val="none"/>
        </w:rPr>
        <w:instrText xml:space="preserve"> HYPERLINK "http://www.creditchina.gov.cn/" </w:instrText>
      </w:r>
      <w:r>
        <w:rPr>
          <w:highlight w:val="none"/>
        </w:rPr>
        <w:fldChar w:fldCharType="separate"/>
      </w:r>
      <w:r>
        <w:rPr>
          <w:rFonts w:hint="eastAsia" w:ascii="宋体" w:hAnsi="宋体" w:eastAsia="宋体" w:cs="宋体"/>
          <w:color w:val="404040"/>
          <w:sz w:val="26"/>
          <w:szCs w:val="26"/>
          <w:highlight w:val="none"/>
        </w:rPr>
        <w:t>www.creditchina.gov.cn</w:t>
      </w:r>
      <w:r>
        <w:rPr>
          <w:rFonts w:hint="eastAsia" w:ascii="宋体" w:hAnsi="宋体" w:eastAsia="宋体" w:cs="宋体"/>
          <w:color w:val="404040"/>
          <w:sz w:val="26"/>
          <w:szCs w:val="26"/>
          <w:highlight w:val="none"/>
        </w:rPr>
        <w:fldChar w:fldCharType="end"/>
      </w:r>
      <w:r>
        <w:rPr>
          <w:rFonts w:hint="eastAsia" w:ascii="宋体" w:hAnsi="宋体" w:eastAsia="宋体" w:cs="宋体"/>
          <w:color w:val="404040"/>
          <w:sz w:val="26"/>
          <w:szCs w:val="26"/>
          <w:highlight w:val="none"/>
        </w:rPr>
        <w:t>)”、“中国政府采购网(</w:t>
      </w:r>
      <w:r>
        <w:rPr>
          <w:highlight w:val="none"/>
        </w:rPr>
        <w:fldChar w:fldCharType="begin"/>
      </w:r>
      <w:r>
        <w:rPr>
          <w:highlight w:val="none"/>
        </w:rPr>
        <w:instrText xml:space="preserve"> HYPERLINK "http://www.ccgp.gov.cn" </w:instrText>
      </w:r>
      <w:r>
        <w:rPr>
          <w:highlight w:val="none"/>
        </w:rPr>
        <w:fldChar w:fldCharType="separate"/>
      </w:r>
      <w:r>
        <w:rPr>
          <w:rFonts w:hint="eastAsia" w:ascii="宋体" w:hAnsi="宋体" w:eastAsia="宋体" w:cs="宋体"/>
          <w:color w:val="404040"/>
          <w:sz w:val="26"/>
          <w:szCs w:val="26"/>
          <w:highlight w:val="none"/>
        </w:rPr>
        <w:t>www.ccgp.gov.cn</w:t>
      </w:r>
      <w:r>
        <w:rPr>
          <w:rFonts w:hint="eastAsia" w:ascii="宋体" w:hAnsi="宋体" w:eastAsia="宋体" w:cs="宋体"/>
          <w:color w:val="404040"/>
          <w:sz w:val="26"/>
          <w:szCs w:val="26"/>
          <w:highlight w:val="none"/>
        </w:rPr>
        <w:fldChar w:fldCharType="end"/>
      </w:r>
      <w:r>
        <w:rPr>
          <w:rFonts w:hint="eastAsia" w:ascii="宋体" w:hAnsi="宋体" w:eastAsia="宋体" w:cs="宋体"/>
          <w:color w:val="404040"/>
          <w:sz w:val="26"/>
          <w:szCs w:val="26"/>
          <w:highlight w:val="none"/>
        </w:rPr>
        <w:t>)”查询并打印相应的信用记录。</w:t>
      </w:r>
    </w:p>
    <w:p w14:paraId="58444254">
      <w:pPr>
        <w:adjustRightInd/>
        <w:snapToGrid/>
        <w:spacing w:before="150" w:after="0" w:line="480" w:lineRule="atLeast"/>
        <w:ind w:firstLine="480"/>
        <w:jc w:val="both"/>
        <w:rPr>
          <w:rFonts w:hint="eastAsia" w:ascii="宋体" w:hAnsi="宋体" w:eastAsia="宋体" w:cs="宋体"/>
          <w:color w:val="404040"/>
          <w:sz w:val="26"/>
          <w:szCs w:val="26"/>
          <w:highlight w:val="none"/>
        </w:rPr>
      </w:pPr>
      <w:r>
        <w:rPr>
          <w:rFonts w:hint="eastAsia" w:ascii="宋体" w:hAnsi="宋体" w:eastAsia="宋体" w:cs="宋体"/>
          <w:color w:val="404040"/>
          <w:sz w:val="26"/>
          <w:szCs w:val="26"/>
          <w:highlight w:val="none"/>
        </w:rPr>
        <w:t>9、投标人应对投标文件资料的真实性负责，招标人在授予合同之前有权对其投标文件资料进行核实，如发现所提交的资料不真实，招标人将视其为以弄虚作假方式骗取中标，其中标无效，若给招标人造成损失的，应依法承担赔偿责任，并列入医院供应商黑名单，院方有权在今后采购活动中拒绝接受其投标材料。</w:t>
      </w:r>
    </w:p>
    <w:p w14:paraId="1DB466D9">
      <w:pPr>
        <w:adjustRightInd/>
        <w:snapToGrid/>
        <w:spacing w:before="150" w:after="0" w:line="480" w:lineRule="atLeast"/>
        <w:ind w:firstLine="480"/>
        <w:jc w:val="both"/>
        <w:rPr>
          <w:rFonts w:hint="eastAsia" w:ascii="宋体" w:hAnsi="宋体" w:eastAsia="宋体" w:cs="宋体"/>
          <w:color w:val="404040"/>
          <w:sz w:val="26"/>
          <w:szCs w:val="26"/>
          <w:highlight w:val="none"/>
        </w:rPr>
      </w:pPr>
      <w:r>
        <w:rPr>
          <w:rFonts w:hint="eastAsia" w:ascii="宋体" w:hAnsi="宋体" w:eastAsia="宋体" w:cs="宋体"/>
          <w:color w:val="404040"/>
          <w:sz w:val="26"/>
          <w:szCs w:val="26"/>
          <w:highlight w:val="none"/>
        </w:rPr>
        <w:t>上述提供材料均须加盖公章。</w:t>
      </w:r>
    </w:p>
    <w:p w14:paraId="237449ED">
      <w:pPr>
        <w:adjustRightInd/>
        <w:snapToGrid/>
        <w:spacing w:before="150" w:after="0" w:line="480" w:lineRule="atLeast"/>
        <w:jc w:val="both"/>
        <w:rPr>
          <w:rFonts w:hint="eastAsia" w:ascii="宋体" w:hAnsi="宋体" w:eastAsia="宋体" w:cs="宋体"/>
          <w:color w:val="404040"/>
          <w:sz w:val="28"/>
          <w:szCs w:val="28"/>
          <w:highlight w:val="none"/>
        </w:rPr>
      </w:pPr>
      <w:r>
        <w:rPr>
          <w:rFonts w:hint="eastAsia" w:ascii="宋体" w:hAnsi="宋体" w:eastAsia="宋体" w:cs="宋体"/>
          <w:b/>
          <w:bCs/>
          <w:color w:val="404040"/>
          <w:sz w:val="26"/>
          <w:highlight w:val="none"/>
        </w:rPr>
        <w:t>三、招标文件的获取</w:t>
      </w:r>
    </w:p>
    <w:p w14:paraId="2BCEB520">
      <w:pPr>
        <w:adjustRightInd/>
        <w:snapToGrid/>
        <w:spacing w:before="150" w:after="0" w:line="480" w:lineRule="atLeast"/>
        <w:ind w:firstLine="480"/>
        <w:jc w:val="both"/>
        <w:rPr>
          <w:rFonts w:hint="eastAsia" w:ascii="宋体" w:hAnsi="宋体" w:eastAsia="宋体" w:cs="宋体"/>
          <w:color w:val="404040"/>
          <w:sz w:val="26"/>
          <w:szCs w:val="26"/>
          <w:highlight w:val="none"/>
        </w:rPr>
      </w:pPr>
      <w:r>
        <w:rPr>
          <w:rFonts w:hint="eastAsia" w:ascii="宋体" w:hAnsi="宋体" w:eastAsia="宋体" w:cs="宋体"/>
          <w:color w:val="404040"/>
          <w:sz w:val="26"/>
          <w:szCs w:val="26"/>
          <w:highlight w:val="none"/>
        </w:rPr>
        <w:t>1、本招标项目不采用电子招投标。</w:t>
      </w:r>
    </w:p>
    <w:p w14:paraId="7F7D6132">
      <w:pPr>
        <w:adjustRightInd/>
        <w:snapToGrid/>
        <w:spacing w:before="150" w:after="0" w:line="480" w:lineRule="atLeast"/>
        <w:ind w:firstLine="480"/>
        <w:jc w:val="both"/>
        <w:rPr>
          <w:rFonts w:hint="eastAsia" w:ascii="宋体" w:hAnsi="宋体" w:eastAsia="宋体" w:cs="宋体"/>
          <w:color w:val="404040"/>
          <w:sz w:val="26"/>
          <w:szCs w:val="26"/>
          <w:highlight w:val="none"/>
        </w:rPr>
      </w:pPr>
      <w:r>
        <w:rPr>
          <w:rFonts w:hint="eastAsia" w:ascii="宋体" w:hAnsi="宋体" w:eastAsia="宋体" w:cs="宋体"/>
          <w:color w:val="404040"/>
          <w:sz w:val="26"/>
          <w:szCs w:val="26"/>
          <w:highlight w:val="none"/>
        </w:rPr>
        <w:t>2、凡有意参加投标者，均可在福建省肿瘤医院官网（https://www.fjzl.com.cn）下载与本项目相关的招标信息（包括招标文件、招标文件补充说明等），并于2024年</w:t>
      </w:r>
      <w:r>
        <w:rPr>
          <w:rFonts w:hint="eastAsia" w:ascii="宋体" w:hAnsi="宋体" w:eastAsia="宋体" w:cs="宋体"/>
          <w:color w:val="404040"/>
          <w:sz w:val="26"/>
          <w:szCs w:val="26"/>
          <w:highlight w:val="none"/>
          <w:lang w:val="en-US" w:eastAsia="zh-CN"/>
        </w:rPr>
        <w:t>10</w:t>
      </w:r>
      <w:r>
        <w:rPr>
          <w:rFonts w:hint="eastAsia" w:ascii="宋体" w:hAnsi="宋体" w:eastAsia="宋体" w:cs="宋体"/>
          <w:color w:val="404040"/>
          <w:sz w:val="26"/>
          <w:szCs w:val="26"/>
          <w:highlight w:val="none"/>
        </w:rPr>
        <w:t>月</w:t>
      </w:r>
      <w:r>
        <w:rPr>
          <w:rFonts w:hint="eastAsia" w:ascii="宋体" w:hAnsi="宋体" w:eastAsia="宋体" w:cs="宋体"/>
          <w:color w:val="404040"/>
          <w:sz w:val="26"/>
          <w:szCs w:val="26"/>
          <w:highlight w:val="none"/>
          <w:lang w:val="en-US" w:eastAsia="zh-CN"/>
        </w:rPr>
        <w:t>14</w:t>
      </w:r>
      <w:r>
        <w:rPr>
          <w:rFonts w:hint="eastAsia" w:ascii="宋体" w:hAnsi="宋体" w:eastAsia="宋体" w:cs="宋体"/>
          <w:color w:val="404040"/>
          <w:sz w:val="26"/>
          <w:szCs w:val="26"/>
          <w:highlight w:val="none"/>
        </w:rPr>
        <w:t>日至2024年</w:t>
      </w:r>
      <w:r>
        <w:rPr>
          <w:rFonts w:hint="eastAsia" w:ascii="宋体" w:hAnsi="宋体" w:eastAsia="宋体" w:cs="宋体"/>
          <w:color w:val="404040"/>
          <w:sz w:val="26"/>
          <w:szCs w:val="26"/>
          <w:highlight w:val="none"/>
          <w:lang w:val="en-US" w:eastAsia="zh-CN"/>
        </w:rPr>
        <w:t>10</w:t>
      </w:r>
      <w:r>
        <w:rPr>
          <w:rFonts w:hint="eastAsia" w:ascii="宋体" w:hAnsi="宋体" w:eastAsia="宋体" w:cs="宋体"/>
          <w:color w:val="404040"/>
          <w:sz w:val="26"/>
          <w:szCs w:val="26"/>
          <w:highlight w:val="none"/>
        </w:rPr>
        <w:t>月</w:t>
      </w:r>
      <w:r>
        <w:rPr>
          <w:rFonts w:hint="eastAsia" w:ascii="宋体" w:hAnsi="宋体" w:eastAsia="宋体" w:cs="宋体"/>
          <w:color w:val="404040"/>
          <w:sz w:val="26"/>
          <w:szCs w:val="26"/>
          <w:highlight w:val="none"/>
          <w:lang w:val="en-US" w:eastAsia="zh-CN"/>
        </w:rPr>
        <w:t>18</w:t>
      </w:r>
      <w:r>
        <w:rPr>
          <w:rFonts w:hint="eastAsia" w:ascii="宋体" w:hAnsi="宋体" w:eastAsia="宋体" w:cs="宋体"/>
          <w:color w:val="404040"/>
          <w:sz w:val="26"/>
          <w:szCs w:val="26"/>
          <w:highlight w:val="none"/>
        </w:rPr>
        <w:t>日(节假日除外)8：00-12：00或14：</w:t>
      </w:r>
      <w:r>
        <w:rPr>
          <w:rFonts w:hint="eastAsia" w:ascii="宋体" w:hAnsi="宋体" w:eastAsia="宋体" w:cs="宋体"/>
          <w:color w:val="404040"/>
          <w:sz w:val="26"/>
          <w:szCs w:val="26"/>
          <w:highlight w:val="none"/>
          <w:lang w:val="en-US" w:eastAsia="zh-CN"/>
        </w:rPr>
        <w:t>0</w:t>
      </w:r>
      <w:r>
        <w:rPr>
          <w:rFonts w:hint="eastAsia" w:ascii="宋体" w:hAnsi="宋体" w:eastAsia="宋体" w:cs="宋体"/>
          <w:color w:val="404040"/>
          <w:sz w:val="26"/>
          <w:szCs w:val="26"/>
          <w:highlight w:val="none"/>
        </w:rPr>
        <w:t>0-17：</w:t>
      </w:r>
      <w:r>
        <w:rPr>
          <w:rFonts w:hint="eastAsia" w:ascii="宋体" w:hAnsi="宋体" w:eastAsia="宋体" w:cs="宋体"/>
          <w:color w:val="404040"/>
          <w:sz w:val="26"/>
          <w:szCs w:val="26"/>
          <w:highlight w:val="none"/>
          <w:lang w:val="en-US" w:eastAsia="zh-CN"/>
        </w:rPr>
        <w:t>0</w:t>
      </w:r>
      <w:r>
        <w:rPr>
          <w:rFonts w:hint="eastAsia" w:ascii="宋体" w:hAnsi="宋体" w:eastAsia="宋体" w:cs="宋体"/>
          <w:color w:val="404040"/>
          <w:sz w:val="26"/>
          <w:szCs w:val="26"/>
          <w:highlight w:val="none"/>
        </w:rPr>
        <w:t>0，携带加盖公章的营业执照复印件、介绍信前往福建省肿瘤医院总务科报名。</w:t>
      </w:r>
    </w:p>
    <w:p w14:paraId="21B04A32">
      <w:pPr>
        <w:adjustRightInd/>
        <w:snapToGrid/>
        <w:spacing w:before="150" w:after="0" w:line="480" w:lineRule="atLeast"/>
        <w:ind w:firstLine="480"/>
        <w:jc w:val="both"/>
        <w:rPr>
          <w:rFonts w:hint="eastAsia" w:ascii="宋体" w:hAnsi="宋体" w:eastAsia="宋体" w:cs="宋体"/>
          <w:color w:val="404040"/>
          <w:sz w:val="26"/>
          <w:szCs w:val="26"/>
          <w:highlight w:val="none"/>
        </w:rPr>
      </w:pPr>
      <w:r>
        <w:rPr>
          <w:rFonts w:hint="eastAsia" w:ascii="宋体" w:hAnsi="宋体" w:eastAsia="宋体" w:cs="宋体"/>
          <w:color w:val="404040"/>
          <w:sz w:val="26"/>
          <w:szCs w:val="26"/>
          <w:highlight w:val="none"/>
        </w:rPr>
        <w:t>项目联系人：陈女士      联系电话：0591-62752801</w:t>
      </w:r>
    </w:p>
    <w:p w14:paraId="51D2607F">
      <w:pPr>
        <w:adjustRightInd/>
        <w:snapToGrid/>
        <w:spacing w:before="150" w:after="0" w:line="480" w:lineRule="atLeast"/>
        <w:jc w:val="both"/>
        <w:rPr>
          <w:rFonts w:hint="eastAsia" w:ascii="宋体" w:hAnsi="宋体" w:eastAsia="宋体" w:cs="宋体"/>
          <w:color w:val="404040"/>
          <w:sz w:val="28"/>
          <w:szCs w:val="28"/>
          <w:highlight w:val="none"/>
        </w:rPr>
      </w:pPr>
      <w:r>
        <w:rPr>
          <w:rFonts w:hint="eastAsia" w:ascii="宋体" w:hAnsi="宋体" w:eastAsia="宋体" w:cs="宋体"/>
          <w:b/>
          <w:bCs/>
          <w:color w:val="404040"/>
          <w:sz w:val="26"/>
          <w:highlight w:val="none"/>
        </w:rPr>
        <w:t>四、答疑截止时间</w:t>
      </w:r>
    </w:p>
    <w:p w14:paraId="27EBF157">
      <w:pPr>
        <w:adjustRightInd/>
        <w:snapToGrid/>
        <w:spacing w:before="150" w:after="0" w:line="480" w:lineRule="atLeast"/>
        <w:ind w:firstLine="480"/>
        <w:jc w:val="both"/>
        <w:rPr>
          <w:rFonts w:hint="eastAsia" w:ascii="宋体" w:hAnsi="宋体" w:eastAsia="宋体" w:cs="宋体"/>
          <w:color w:val="404040"/>
          <w:sz w:val="26"/>
          <w:szCs w:val="26"/>
          <w:highlight w:val="none"/>
        </w:rPr>
      </w:pPr>
      <w:r>
        <w:rPr>
          <w:rFonts w:hint="eastAsia" w:ascii="宋体" w:hAnsi="宋体" w:eastAsia="宋体" w:cs="宋体"/>
          <w:color w:val="404040"/>
          <w:sz w:val="26"/>
          <w:szCs w:val="26"/>
          <w:highlight w:val="none"/>
        </w:rPr>
        <w:t>投标人若要求澄清招标文件，应在获取招标文件截止时间后的2个工作日内提出，招标人将随时解答。</w:t>
      </w:r>
    </w:p>
    <w:p w14:paraId="122ADE35">
      <w:pPr>
        <w:adjustRightInd/>
        <w:snapToGrid/>
        <w:spacing w:before="150" w:after="0" w:line="480" w:lineRule="atLeast"/>
        <w:jc w:val="both"/>
        <w:rPr>
          <w:rFonts w:hint="eastAsia" w:ascii="宋体" w:hAnsi="宋体" w:eastAsia="宋体" w:cs="宋体"/>
          <w:color w:val="404040"/>
          <w:sz w:val="28"/>
          <w:szCs w:val="28"/>
          <w:highlight w:val="none"/>
        </w:rPr>
      </w:pPr>
      <w:r>
        <w:rPr>
          <w:rFonts w:hint="eastAsia" w:ascii="宋体" w:hAnsi="宋体" w:eastAsia="宋体" w:cs="宋体"/>
          <w:b/>
          <w:bCs/>
          <w:color w:val="404040"/>
          <w:sz w:val="26"/>
          <w:highlight w:val="none"/>
        </w:rPr>
        <w:t>五、投标文件的要求及递交</w:t>
      </w:r>
    </w:p>
    <w:p w14:paraId="202C084A">
      <w:pPr>
        <w:adjustRightInd/>
        <w:snapToGrid/>
        <w:spacing w:before="150" w:after="0" w:line="480" w:lineRule="atLeast"/>
        <w:ind w:firstLine="480"/>
        <w:jc w:val="both"/>
        <w:rPr>
          <w:rFonts w:hint="eastAsia" w:ascii="宋体" w:hAnsi="宋体" w:eastAsia="宋体" w:cs="宋体"/>
          <w:color w:val="404040"/>
          <w:sz w:val="26"/>
          <w:szCs w:val="26"/>
          <w:highlight w:val="none"/>
        </w:rPr>
      </w:pPr>
      <w:r>
        <w:rPr>
          <w:rFonts w:hint="eastAsia" w:ascii="宋体" w:hAnsi="宋体" w:eastAsia="宋体" w:cs="宋体"/>
          <w:color w:val="404040"/>
          <w:sz w:val="26"/>
          <w:szCs w:val="26"/>
          <w:highlight w:val="none"/>
        </w:rPr>
        <w:t>1、投标文件正本</w:t>
      </w:r>
      <w:r>
        <w:rPr>
          <w:rFonts w:hint="eastAsia" w:ascii="宋体" w:hAnsi="宋体" w:eastAsia="宋体" w:cs="宋体"/>
          <w:bCs/>
          <w:color w:val="404040"/>
          <w:sz w:val="26"/>
          <w:szCs w:val="26"/>
          <w:highlight w:val="none"/>
          <w:u w:val="single"/>
        </w:rPr>
        <w:t>壹</w:t>
      </w:r>
      <w:r>
        <w:rPr>
          <w:rFonts w:hint="eastAsia" w:ascii="宋体" w:hAnsi="宋体" w:eastAsia="宋体" w:cs="宋体"/>
          <w:color w:val="404040"/>
          <w:sz w:val="26"/>
          <w:szCs w:val="26"/>
          <w:highlight w:val="none"/>
        </w:rPr>
        <w:t>份</w:t>
      </w:r>
      <w:r>
        <w:rPr>
          <w:rFonts w:ascii="宋体" w:hAnsi="宋体" w:eastAsia="宋体" w:cs="宋体"/>
          <w:color w:val="404040"/>
          <w:sz w:val="26"/>
          <w:szCs w:val="26"/>
          <w:highlight w:val="none"/>
        </w:rPr>
        <w:t>,</w:t>
      </w:r>
      <w:r>
        <w:rPr>
          <w:rFonts w:hint="eastAsia" w:ascii="宋体" w:hAnsi="宋体" w:eastAsia="宋体" w:cs="宋体"/>
          <w:color w:val="404040"/>
          <w:sz w:val="26"/>
          <w:szCs w:val="26"/>
          <w:highlight w:val="none"/>
        </w:rPr>
        <w:t>副本</w:t>
      </w:r>
      <w:r>
        <w:rPr>
          <w:rFonts w:hint="eastAsia" w:ascii="宋体" w:hAnsi="宋体" w:eastAsia="宋体" w:cs="宋体"/>
          <w:bCs/>
          <w:color w:val="404040"/>
          <w:sz w:val="26"/>
          <w:szCs w:val="26"/>
          <w:highlight w:val="none"/>
          <w:u w:val="single"/>
        </w:rPr>
        <w:t>壹</w:t>
      </w:r>
      <w:r>
        <w:rPr>
          <w:rFonts w:hint="eastAsia" w:ascii="宋体" w:hAnsi="宋体" w:eastAsia="宋体" w:cs="宋体"/>
          <w:color w:val="404040"/>
          <w:sz w:val="26"/>
          <w:szCs w:val="26"/>
          <w:highlight w:val="none"/>
        </w:rPr>
        <w:t>份胶装并密封加盖投标人公章。投标文件未胶装密封将导致其投标文件被拒绝。</w:t>
      </w:r>
    </w:p>
    <w:p w14:paraId="08D19AFA">
      <w:pPr>
        <w:adjustRightInd/>
        <w:snapToGrid/>
        <w:spacing w:before="150" w:after="0" w:line="480" w:lineRule="atLeast"/>
        <w:ind w:firstLine="480"/>
        <w:jc w:val="both"/>
        <w:rPr>
          <w:rFonts w:hint="eastAsia" w:ascii="宋体" w:hAnsi="宋体" w:eastAsia="宋体" w:cs="宋体"/>
          <w:color w:val="404040"/>
          <w:sz w:val="26"/>
          <w:szCs w:val="26"/>
          <w:highlight w:val="none"/>
        </w:rPr>
      </w:pPr>
      <w:r>
        <w:rPr>
          <w:rFonts w:hint="eastAsia" w:ascii="宋体" w:hAnsi="宋体" w:eastAsia="宋体" w:cs="宋体"/>
          <w:color w:val="404040"/>
          <w:sz w:val="26"/>
          <w:szCs w:val="26"/>
          <w:highlight w:val="none"/>
        </w:rPr>
        <w:t>2、投标文件递交的截止时间：202</w:t>
      </w:r>
      <w:r>
        <w:rPr>
          <w:rFonts w:hint="eastAsia" w:ascii="宋体" w:hAnsi="宋体" w:eastAsia="宋体" w:cs="宋体"/>
          <w:color w:val="404040"/>
          <w:sz w:val="26"/>
          <w:szCs w:val="26"/>
          <w:highlight w:val="none"/>
          <w:lang w:val="en-US" w:eastAsia="zh-CN"/>
        </w:rPr>
        <w:t>4</w:t>
      </w:r>
      <w:r>
        <w:rPr>
          <w:rFonts w:hint="eastAsia" w:ascii="宋体" w:hAnsi="宋体" w:eastAsia="宋体" w:cs="宋体"/>
          <w:color w:val="404040"/>
          <w:sz w:val="26"/>
          <w:szCs w:val="26"/>
          <w:highlight w:val="none"/>
        </w:rPr>
        <w:t>年</w:t>
      </w:r>
      <w:r>
        <w:rPr>
          <w:rFonts w:hint="eastAsia" w:ascii="宋体" w:hAnsi="宋体" w:eastAsia="宋体" w:cs="宋体"/>
          <w:color w:val="404040"/>
          <w:sz w:val="26"/>
          <w:szCs w:val="26"/>
          <w:highlight w:val="none"/>
          <w:lang w:val="en-US" w:eastAsia="zh-CN"/>
        </w:rPr>
        <w:t>10</w:t>
      </w:r>
      <w:r>
        <w:rPr>
          <w:rFonts w:hint="eastAsia" w:ascii="宋体" w:hAnsi="宋体" w:eastAsia="宋体" w:cs="宋体"/>
          <w:color w:val="404040"/>
          <w:sz w:val="26"/>
          <w:szCs w:val="26"/>
          <w:highlight w:val="none"/>
        </w:rPr>
        <w:t>月</w:t>
      </w:r>
      <w:r>
        <w:rPr>
          <w:rFonts w:hint="eastAsia" w:ascii="宋体" w:hAnsi="宋体" w:eastAsia="宋体" w:cs="宋体"/>
          <w:color w:val="404040"/>
          <w:sz w:val="26"/>
          <w:szCs w:val="26"/>
          <w:highlight w:val="none"/>
          <w:lang w:val="en-US" w:eastAsia="zh-CN"/>
        </w:rPr>
        <w:t>21</w:t>
      </w:r>
      <w:r>
        <w:rPr>
          <w:rFonts w:hint="eastAsia" w:ascii="宋体" w:hAnsi="宋体" w:eastAsia="宋体" w:cs="宋体"/>
          <w:color w:val="404040"/>
          <w:sz w:val="26"/>
          <w:szCs w:val="26"/>
          <w:highlight w:val="none"/>
        </w:rPr>
        <w:t>日</w:t>
      </w:r>
      <w:r>
        <w:rPr>
          <w:rFonts w:hint="eastAsia" w:ascii="宋体" w:hAnsi="宋体" w:eastAsia="宋体" w:cs="宋体"/>
          <w:color w:val="404040"/>
          <w:sz w:val="26"/>
          <w:szCs w:val="26"/>
          <w:highlight w:val="none"/>
          <w:lang w:val="en-US" w:eastAsia="zh-CN"/>
        </w:rPr>
        <w:t>9</w:t>
      </w:r>
      <w:r>
        <w:rPr>
          <w:rFonts w:hint="eastAsia" w:ascii="宋体" w:hAnsi="宋体" w:eastAsia="宋体" w:cs="宋体"/>
          <w:color w:val="404040"/>
          <w:sz w:val="26"/>
          <w:szCs w:val="26"/>
          <w:highlight w:val="none"/>
        </w:rPr>
        <w:t>:</w:t>
      </w:r>
      <w:r>
        <w:rPr>
          <w:rFonts w:hint="eastAsia" w:ascii="宋体" w:hAnsi="宋体" w:eastAsia="宋体" w:cs="宋体"/>
          <w:color w:val="404040"/>
          <w:sz w:val="26"/>
          <w:szCs w:val="26"/>
          <w:highlight w:val="none"/>
          <w:lang w:val="en-US" w:eastAsia="zh-CN"/>
        </w:rPr>
        <w:t>0</w:t>
      </w:r>
      <w:r>
        <w:rPr>
          <w:rFonts w:hint="eastAsia" w:ascii="宋体" w:hAnsi="宋体" w:eastAsia="宋体" w:cs="宋体"/>
          <w:color w:val="404040"/>
          <w:sz w:val="26"/>
          <w:szCs w:val="26"/>
          <w:highlight w:val="none"/>
        </w:rPr>
        <w:t>0，提交地点为福建省肿瘤医院总务科，未送达指定地点或逾期送达者拒收。</w:t>
      </w:r>
    </w:p>
    <w:p w14:paraId="3BFA49D3">
      <w:pPr>
        <w:adjustRightInd/>
        <w:snapToGrid/>
        <w:spacing w:before="150" w:after="0" w:line="480" w:lineRule="atLeast"/>
        <w:jc w:val="both"/>
        <w:rPr>
          <w:rFonts w:hint="eastAsia" w:ascii="宋体" w:hAnsi="宋体" w:eastAsia="宋体" w:cs="宋体"/>
          <w:b/>
          <w:bCs/>
          <w:color w:val="404040"/>
          <w:sz w:val="26"/>
          <w:highlight w:val="none"/>
        </w:rPr>
      </w:pPr>
      <w:r>
        <w:rPr>
          <w:rFonts w:hint="eastAsia" w:ascii="宋体" w:hAnsi="宋体" w:eastAsia="宋体" w:cs="宋体"/>
          <w:b/>
          <w:bCs/>
          <w:color w:val="404040"/>
          <w:sz w:val="26"/>
          <w:highlight w:val="none"/>
        </w:rPr>
        <w:t>六、开标评标时间地点</w:t>
      </w:r>
    </w:p>
    <w:p w14:paraId="19C9ACB7">
      <w:pPr>
        <w:adjustRightInd/>
        <w:snapToGrid/>
        <w:spacing w:before="150" w:after="0" w:line="480" w:lineRule="atLeast"/>
        <w:ind w:firstLine="480"/>
        <w:jc w:val="both"/>
        <w:rPr>
          <w:rFonts w:hint="eastAsia" w:ascii="宋体" w:hAnsi="宋体" w:eastAsia="宋体" w:cs="宋体"/>
          <w:color w:val="404040"/>
          <w:sz w:val="26"/>
          <w:szCs w:val="26"/>
          <w:highlight w:val="none"/>
        </w:rPr>
      </w:pPr>
      <w:r>
        <w:rPr>
          <w:rFonts w:hint="eastAsia" w:ascii="宋体" w:hAnsi="宋体" w:eastAsia="宋体" w:cs="宋体"/>
          <w:color w:val="404040"/>
          <w:sz w:val="26"/>
          <w:szCs w:val="26"/>
          <w:highlight w:val="none"/>
        </w:rPr>
        <w:t>1、开标时间：2024年</w:t>
      </w:r>
      <w:r>
        <w:rPr>
          <w:rFonts w:hint="eastAsia" w:ascii="宋体" w:hAnsi="宋体" w:eastAsia="宋体" w:cs="宋体"/>
          <w:color w:val="404040"/>
          <w:sz w:val="26"/>
          <w:szCs w:val="26"/>
          <w:highlight w:val="none"/>
          <w:lang w:val="en-US" w:eastAsia="zh-CN"/>
        </w:rPr>
        <w:t>10</w:t>
      </w:r>
      <w:r>
        <w:rPr>
          <w:rFonts w:hint="eastAsia" w:ascii="宋体" w:hAnsi="宋体" w:eastAsia="宋体" w:cs="宋体"/>
          <w:color w:val="404040"/>
          <w:sz w:val="26"/>
          <w:szCs w:val="26"/>
          <w:highlight w:val="none"/>
        </w:rPr>
        <w:t>月</w:t>
      </w:r>
      <w:r>
        <w:rPr>
          <w:rFonts w:hint="eastAsia" w:ascii="宋体" w:hAnsi="宋体" w:eastAsia="宋体" w:cs="宋体"/>
          <w:color w:val="404040"/>
          <w:sz w:val="26"/>
          <w:szCs w:val="26"/>
          <w:highlight w:val="none"/>
          <w:lang w:val="en-US" w:eastAsia="zh-CN"/>
        </w:rPr>
        <w:t>21</w:t>
      </w:r>
      <w:r>
        <w:rPr>
          <w:rFonts w:hint="eastAsia" w:ascii="宋体" w:hAnsi="宋体" w:eastAsia="宋体" w:cs="宋体"/>
          <w:color w:val="404040"/>
          <w:sz w:val="26"/>
          <w:szCs w:val="26"/>
          <w:highlight w:val="none"/>
        </w:rPr>
        <w:t>日</w:t>
      </w:r>
      <w:r>
        <w:rPr>
          <w:rFonts w:hint="eastAsia" w:ascii="宋体" w:hAnsi="宋体" w:eastAsia="宋体" w:cs="宋体"/>
          <w:color w:val="404040"/>
          <w:sz w:val="26"/>
          <w:szCs w:val="26"/>
          <w:highlight w:val="none"/>
          <w:lang w:val="en-US" w:eastAsia="zh-CN"/>
        </w:rPr>
        <w:t>9</w:t>
      </w:r>
      <w:r>
        <w:rPr>
          <w:rFonts w:hint="eastAsia" w:ascii="宋体" w:hAnsi="宋体" w:eastAsia="宋体" w:cs="宋体"/>
          <w:color w:val="404040"/>
          <w:sz w:val="26"/>
          <w:szCs w:val="26"/>
          <w:highlight w:val="none"/>
        </w:rPr>
        <w:t>:</w:t>
      </w:r>
      <w:r>
        <w:rPr>
          <w:rFonts w:hint="eastAsia" w:ascii="宋体" w:hAnsi="宋体" w:eastAsia="宋体" w:cs="宋体"/>
          <w:color w:val="404040"/>
          <w:sz w:val="26"/>
          <w:szCs w:val="26"/>
          <w:highlight w:val="none"/>
          <w:lang w:val="en-US" w:eastAsia="zh-CN"/>
        </w:rPr>
        <w:t>0</w:t>
      </w:r>
      <w:r>
        <w:rPr>
          <w:rFonts w:hint="eastAsia" w:ascii="宋体" w:hAnsi="宋体" w:eastAsia="宋体" w:cs="宋体"/>
          <w:color w:val="404040"/>
          <w:sz w:val="26"/>
          <w:szCs w:val="26"/>
          <w:highlight w:val="none"/>
        </w:rPr>
        <w:t>0时</w:t>
      </w:r>
    </w:p>
    <w:p w14:paraId="6FF00843">
      <w:pPr>
        <w:adjustRightInd/>
        <w:snapToGrid/>
        <w:spacing w:before="150" w:after="0" w:line="480" w:lineRule="atLeast"/>
        <w:ind w:firstLine="480"/>
        <w:jc w:val="both"/>
        <w:rPr>
          <w:rFonts w:hint="eastAsia" w:ascii="宋体" w:hAnsi="宋体" w:eastAsia="宋体" w:cs="宋体"/>
          <w:color w:val="404040"/>
          <w:sz w:val="26"/>
          <w:szCs w:val="26"/>
          <w:highlight w:val="none"/>
        </w:rPr>
      </w:pPr>
      <w:r>
        <w:rPr>
          <w:rFonts w:hint="eastAsia" w:ascii="宋体" w:hAnsi="宋体" w:eastAsia="宋体" w:cs="宋体"/>
          <w:color w:val="404040"/>
          <w:sz w:val="26"/>
          <w:szCs w:val="26"/>
          <w:highlight w:val="none"/>
        </w:rPr>
        <w:t>2、评标时间：开标后即开始评标</w:t>
      </w:r>
    </w:p>
    <w:p w14:paraId="39E117FC">
      <w:pPr>
        <w:adjustRightInd/>
        <w:snapToGrid/>
        <w:spacing w:before="150" w:after="0" w:line="480" w:lineRule="atLeast"/>
        <w:ind w:firstLine="480"/>
        <w:jc w:val="both"/>
        <w:rPr>
          <w:rFonts w:hint="eastAsia" w:ascii="宋体" w:hAnsi="宋体" w:eastAsia="宋体" w:cs="宋体"/>
          <w:color w:val="404040"/>
          <w:sz w:val="26"/>
          <w:szCs w:val="26"/>
          <w:highlight w:val="none"/>
        </w:rPr>
      </w:pPr>
      <w:r>
        <w:rPr>
          <w:rFonts w:hint="eastAsia" w:ascii="宋体" w:hAnsi="宋体" w:eastAsia="宋体" w:cs="宋体"/>
          <w:color w:val="404040"/>
          <w:sz w:val="26"/>
          <w:szCs w:val="26"/>
          <w:highlight w:val="none"/>
        </w:rPr>
        <w:t>3、地点：福建省肿瘤医院科研楼一楼总务科</w:t>
      </w:r>
    </w:p>
    <w:p w14:paraId="5FE16659">
      <w:pPr>
        <w:adjustRightInd/>
        <w:snapToGrid/>
        <w:spacing w:before="150" w:after="0" w:line="480" w:lineRule="atLeast"/>
        <w:ind w:firstLine="480"/>
        <w:jc w:val="both"/>
        <w:rPr>
          <w:rFonts w:hint="eastAsia" w:ascii="宋体" w:hAnsi="宋体" w:eastAsia="宋体" w:cs="宋体"/>
          <w:color w:val="404040"/>
          <w:sz w:val="26"/>
          <w:szCs w:val="26"/>
          <w:highlight w:val="none"/>
        </w:rPr>
      </w:pPr>
      <w:r>
        <w:rPr>
          <w:rFonts w:hint="eastAsia" w:ascii="宋体" w:hAnsi="宋体" w:eastAsia="宋体" w:cs="宋体"/>
          <w:color w:val="404040"/>
          <w:sz w:val="26"/>
          <w:szCs w:val="26"/>
          <w:highlight w:val="none"/>
        </w:rPr>
        <w:t>备注：</w:t>
      </w:r>
    </w:p>
    <w:p w14:paraId="535B2BF7">
      <w:pPr>
        <w:adjustRightInd/>
        <w:snapToGrid/>
        <w:spacing w:before="150" w:after="0" w:line="480" w:lineRule="atLeast"/>
        <w:ind w:firstLine="480"/>
        <w:jc w:val="both"/>
        <w:rPr>
          <w:rFonts w:hint="eastAsia" w:ascii="宋体" w:hAnsi="宋体" w:eastAsia="宋体" w:cs="宋体"/>
          <w:color w:val="404040"/>
          <w:sz w:val="26"/>
          <w:szCs w:val="26"/>
          <w:highlight w:val="none"/>
        </w:rPr>
      </w:pPr>
      <w:r>
        <w:rPr>
          <w:rFonts w:hint="eastAsia" w:ascii="宋体" w:hAnsi="宋体" w:eastAsia="宋体" w:cs="宋体"/>
          <w:color w:val="404040"/>
          <w:sz w:val="26"/>
          <w:szCs w:val="26"/>
          <w:highlight w:val="none"/>
        </w:rPr>
        <w:t>1、未参加报名的潜在投标人，其投标文件将被拒绝。</w:t>
      </w:r>
    </w:p>
    <w:p w14:paraId="0C9D7003">
      <w:pPr>
        <w:adjustRightInd/>
        <w:snapToGrid/>
        <w:spacing w:before="150" w:after="0" w:line="480" w:lineRule="atLeast"/>
        <w:ind w:firstLine="480"/>
        <w:jc w:val="both"/>
        <w:rPr>
          <w:rFonts w:hint="eastAsia" w:ascii="宋体" w:hAnsi="宋体" w:eastAsia="宋体" w:cs="宋体"/>
          <w:color w:val="404040"/>
          <w:sz w:val="26"/>
          <w:szCs w:val="26"/>
          <w:highlight w:val="none"/>
        </w:rPr>
      </w:pPr>
      <w:r>
        <w:rPr>
          <w:rFonts w:hint="eastAsia" w:ascii="宋体" w:hAnsi="宋体" w:eastAsia="宋体" w:cs="宋体"/>
          <w:color w:val="404040"/>
          <w:sz w:val="26"/>
          <w:szCs w:val="26"/>
          <w:highlight w:val="none"/>
        </w:rPr>
        <w:t>2、若有涉及招标文件内容更正，请各潜在投标人密切关注福建省肿瘤医院官网通知，以最新公告为准。</w:t>
      </w:r>
    </w:p>
    <w:p w14:paraId="58B855B7">
      <w:pPr>
        <w:adjustRightInd/>
        <w:snapToGrid/>
        <w:spacing w:before="150" w:after="0" w:line="480" w:lineRule="atLeast"/>
        <w:jc w:val="both"/>
        <w:rPr>
          <w:rFonts w:hint="eastAsia" w:ascii="宋体" w:hAnsi="宋体" w:eastAsia="宋体" w:cs="宋体"/>
          <w:color w:val="404040"/>
          <w:sz w:val="28"/>
          <w:szCs w:val="28"/>
          <w:highlight w:val="none"/>
        </w:rPr>
      </w:pPr>
      <w:r>
        <w:rPr>
          <w:rFonts w:hint="eastAsia" w:ascii="宋体" w:hAnsi="宋体" w:eastAsia="宋体" w:cs="宋体"/>
          <w:b/>
          <w:bCs/>
          <w:color w:val="404040"/>
          <w:sz w:val="26"/>
          <w:highlight w:val="none"/>
        </w:rPr>
        <w:t>七、评标原则及办法</w:t>
      </w:r>
    </w:p>
    <w:p w14:paraId="5D9B0566">
      <w:pPr>
        <w:adjustRightInd/>
        <w:snapToGrid/>
        <w:spacing w:before="150" w:after="0" w:line="480" w:lineRule="atLeast"/>
        <w:ind w:firstLine="480"/>
        <w:jc w:val="both"/>
        <w:rPr>
          <w:rFonts w:hint="eastAsia" w:ascii="宋体" w:hAnsi="宋体" w:eastAsia="宋体" w:cs="宋体"/>
          <w:color w:val="404040"/>
          <w:sz w:val="26"/>
          <w:szCs w:val="26"/>
          <w:highlight w:val="none"/>
        </w:rPr>
      </w:pPr>
      <w:r>
        <w:rPr>
          <w:rFonts w:hint="eastAsia" w:ascii="宋体" w:hAnsi="宋体" w:eastAsia="宋体" w:cs="宋体"/>
          <w:color w:val="404040"/>
          <w:sz w:val="26"/>
          <w:szCs w:val="26"/>
          <w:highlight w:val="none"/>
        </w:rPr>
        <w:t>1、评标活动遵循公平、公正、科学和择优的原则。</w:t>
      </w:r>
    </w:p>
    <w:p w14:paraId="6CC30409">
      <w:pPr>
        <w:adjustRightInd/>
        <w:snapToGrid/>
        <w:spacing w:before="150" w:after="0" w:line="480" w:lineRule="atLeast"/>
        <w:ind w:firstLine="480"/>
        <w:jc w:val="both"/>
        <w:rPr>
          <w:rFonts w:hint="eastAsia" w:ascii="宋体" w:hAnsi="宋体" w:eastAsia="宋体" w:cs="宋体"/>
          <w:color w:val="404040"/>
          <w:sz w:val="26"/>
          <w:szCs w:val="26"/>
          <w:highlight w:val="none"/>
        </w:rPr>
      </w:pPr>
      <w:r>
        <w:rPr>
          <w:rFonts w:hint="eastAsia" w:ascii="宋体" w:hAnsi="宋体" w:eastAsia="宋体" w:cs="宋体"/>
          <w:color w:val="404040"/>
          <w:sz w:val="26"/>
          <w:szCs w:val="26"/>
          <w:highlight w:val="none"/>
        </w:rPr>
        <w:t>2、评标方法：综合评分。</w:t>
      </w:r>
    </w:p>
    <w:p w14:paraId="3A88CE3D">
      <w:pPr>
        <w:adjustRightInd/>
        <w:snapToGrid/>
        <w:spacing w:before="150" w:after="0" w:line="480" w:lineRule="atLeast"/>
        <w:ind w:firstLine="480"/>
        <w:jc w:val="both"/>
        <w:rPr>
          <w:rFonts w:hint="eastAsia" w:ascii="宋体" w:hAnsi="宋体" w:eastAsia="宋体" w:cs="宋体"/>
          <w:color w:val="404040"/>
          <w:sz w:val="26"/>
          <w:szCs w:val="26"/>
          <w:highlight w:val="none"/>
        </w:rPr>
      </w:pPr>
      <w:r>
        <w:rPr>
          <w:rFonts w:hint="eastAsia" w:ascii="宋体" w:hAnsi="宋体" w:eastAsia="宋体" w:cs="宋体"/>
          <w:color w:val="404040"/>
          <w:sz w:val="26"/>
          <w:szCs w:val="26"/>
          <w:highlight w:val="none"/>
        </w:rPr>
        <w:t>3、投标人之间有相互串通投标、弄虚作假等违规行为者，将作废标处理，并在我院未来的项目招标中被拒绝接受投标。</w:t>
      </w:r>
    </w:p>
    <w:p w14:paraId="26CEE035">
      <w:pPr>
        <w:adjustRightInd/>
        <w:snapToGrid/>
        <w:spacing w:before="150" w:after="0" w:line="480" w:lineRule="atLeast"/>
        <w:jc w:val="both"/>
        <w:rPr>
          <w:rFonts w:hint="eastAsia" w:ascii="宋体" w:hAnsi="宋体" w:eastAsia="宋体" w:cs="宋体"/>
          <w:color w:val="404040"/>
          <w:sz w:val="28"/>
          <w:szCs w:val="28"/>
          <w:highlight w:val="none"/>
        </w:rPr>
      </w:pPr>
      <w:r>
        <w:rPr>
          <w:rFonts w:hint="eastAsia" w:ascii="宋体" w:hAnsi="宋体" w:eastAsia="宋体" w:cs="宋体"/>
          <w:b/>
          <w:bCs/>
          <w:color w:val="404040"/>
          <w:sz w:val="26"/>
          <w:highlight w:val="none"/>
        </w:rPr>
        <w:t>八、合同条款内容及签订</w:t>
      </w:r>
    </w:p>
    <w:p w14:paraId="2207F5FE">
      <w:pPr>
        <w:adjustRightInd/>
        <w:snapToGrid/>
        <w:spacing w:before="150" w:after="0" w:line="480" w:lineRule="atLeast"/>
        <w:ind w:firstLine="480"/>
        <w:jc w:val="both"/>
        <w:rPr>
          <w:rFonts w:hint="eastAsia" w:ascii="宋体" w:hAnsi="宋体" w:eastAsia="宋体" w:cs="宋体"/>
          <w:color w:val="404040"/>
          <w:sz w:val="26"/>
          <w:szCs w:val="26"/>
          <w:highlight w:val="none"/>
        </w:rPr>
      </w:pPr>
      <w:r>
        <w:rPr>
          <w:rFonts w:hint="eastAsia" w:ascii="宋体" w:hAnsi="宋体" w:eastAsia="宋体" w:cs="宋体"/>
          <w:color w:val="404040"/>
          <w:sz w:val="26"/>
          <w:szCs w:val="26"/>
          <w:highlight w:val="none"/>
        </w:rPr>
        <w:t>1、合同专用条款内容依照国家规范文本，合同通用条款内容解释依照国家规范文本。</w:t>
      </w:r>
    </w:p>
    <w:p w14:paraId="75071A0E">
      <w:pPr>
        <w:adjustRightInd/>
        <w:snapToGrid/>
        <w:spacing w:before="150" w:after="0" w:line="480" w:lineRule="atLeast"/>
        <w:ind w:firstLine="480"/>
        <w:jc w:val="both"/>
        <w:rPr>
          <w:rFonts w:hint="eastAsia" w:ascii="宋体" w:hAnsi="宋体" w:eastAsia="宋体" w:cs="宋体"/>
          <w:color w:val="404040"/>
          <w:sz w:val="26"/>
          <w:szCs w:val="26"/>
          <w:highlight w:val="none"/>
        </w:rPr>
      </w:pPr>
      <w:r>
        <w:rPr>
          <w:rFonts w:hint="eastAsia" w:ascii="宋体" w:hAnsi="宋体" w:eastAsia="宋体" w:cs="宋体"/>
          <w:color w:val="404040"/>
          <w:sz w:val="26"/>
          <w:szCs w:val="26"/>
          <w:highlight w:val="none"/>
        </w:rPr>
        <w:t>2、合同签订：中标人在接到中标通知后3天内，应派代表与招标人联系，商讨签订合同事宜。</w:t>
      </w:r>
    </w:p>
    <w:p w14:paraId="040264A8">
      <w:pPr>
        <w:adjustRightInd/>
        <w:snapToGrid/>
        <w:spacing w:before="150" w:after="0" w:line="480" w:lineRule="atLeast"/>
        <w:ind w:firstLine="480"/>
        <w:jc w:val="both"/>
        <w:rPr>
          <w:rFonts w:hint="eastAsia" w:ascii="宋体" w:hAnsi="宋体" w:eastAsia="宋体" w:cs="宋体"/>
          <w:color w:val="404040"/>
          <w:sz w:val="26"/>
          <w:szCs w:val="26"/>
          <w:highlight w:val="none"/>
        </w:rPr>
      </w:pPr>
      <w:r>
        <w:rPr>
          <w:rFonts w:hint="eastAsia" w:ascii="宋体" w:hAnsi="宋体" w:eastAsia="宋体" w:cs="宋体"/>
          <w:color w:val="404040"/>
          <w:sz w:val="26"/>
          <w:szCs w:val="26"/>
          <w:highlight w:val="none"/>
        </w:rPr>
        <w:t>3、中标人在接到中标通知书后30日内与采购单位签订采购合同。</w:t>
      </w:r>
    </w:p>
    <w:p w14:paraId="6D847A7C">
      <w:pPr>
        <w:adjustRightInd/>
        <w:snapToGrid/>
        <w:spacing w:before="150" w:after="0" w:line="480" w:lineRule="atLeast"/>
        <w:jc w:val="both"/>
        <w:rPr>
          <w:rFonts w:hint="eastAsia" w:ascii="宋体" w:hAnsi="宋体" w:eastAsia="宋体" w:cs="宋体"/>
          <w:color w:val="404040"/>
          <w:sz w:val="28"/>
          <w:szCs w:val="28"/>
          <w:highlight w:val="none"/>
        </w:rPr>
      </w:pPr>
      <w:r>
        <w:rPr>
          <w:rFonts w:hint="eastAsia" w:ascii="宋体" w:hAnsi="宋体" w:eastAsia="宋体" w:cs="宋体"/>
          <w:b/>
          <w:bCs/>
          <w:color w:val="404040"/>
          <w:sz w:val="26"/>
          <w:highlight w:val="none"/>
        </w:rPr>
        <w:t>九、其他未详尽事宜</w:t>
      </w:r>
    </w:p>
    <w:p w14:paraId="45748B08">
      <w:pPr>
        <w:adjustRightInd/>
        <w:snapToGrid/>
        <w:spacing w:before="150" w:after="0" w:line="480" w:lineRule="atLeast"/>
        <w:ind w:firstLine="480"/>
        <w:jc w:val="both"/>
        <w:rPr>
          <w:rFonts w:hint="eastAsia" w:ascii="宋体" w:hAnsi="宋体" w:eastAsia="宋体" w:cs="宋体"/>
          <w:color w:val="404040"/>
          <w:sz w:val="28"/>
          <w:szCs w:val="28"/>
          <w:highlight w:val="none"/>
        </w:rPr>
      </w:pPr>
      <w:r>
        <w:rPr>
          <w:rFonts w:hint="eastAsia" w:ascii="宋体" w:hAnsi="宋体" w:eastAsia="宋体" w:cs="宋体"/>
          <w:color w:val="404040"/>
          <w:sz w:val="26"/>
          <w:szCs w:val="26"/>
          <w:highlight w:val="none"/>
        </w:rPr>
        <w:t>依照国家政府采购和招投标有关规定，未明之处，可进行必要的咨询和补充说明。</w:t>
      </w:r>
    </w:p>
    <w:p w14:paraId="079BE0DB">
      <w:pPr>
        <w:adjustRightInd/>
        <w:snapToGrid/>
        <w:spacing w:before="150" w:after="0" w:line="480" w:lineRule="atLeast"/>
        <w:jc w:val="both"/>
        <w:rPr>
          <w:rFonts w:hint="eastAsia" w:ascii="宋体" w:hAnsi="宋体" w:eastAsia="宋体" w:cs="宋体"/>
          <w:color w:val="404040"/>
          <w:sz w:val="28"/>
          <w:szCs w:val="28"/>
          <w:highlight w:val="none"/>
        </w:rPr>
      </w:pPr>
      <w:r>
        <w:rPr>
          <w:rFonts w:hint="eastAsia" w:ascii="宋体" w:hAnsi="宋体" w:eastAsia="宋体" w:cs="宋体"/>
          <w:b/>
          <w:bCs/>
          <w:color w:val="404040"/>
          <w:sz w:val="26"/>
          <w:highlight w:val="none"/>
        </w:rPr>
        <w:t>十、监督电话</w:t>
      </w:r>
    </w:p>
    <w:p w14:paraId="4FD74BEA">
      <w:pPr>
        <w:adjustRightInd/>
        <w:snapToGrid/>
        <w:spacing w:before="150" w:after="0" w:line="480" w:lineRule="atLeast"/>
        <w:ind w:firstLine="480"/>
        <w:jc w:val="both"/>
        <w:rPr>
          <w:rFonts w:hint="eastAsia" w:ascii="宋体" w:hAnsi="宋体" w:eastAsia="宋体" w:cs="宋体"/>
          <w:color w:val="404040"/>
          <w:sz w:val="26"/>
          <w:szCs w:val="26"/>
          <w:highlight w:val="none"/>
        </w:rPr>
      </w:pPr>
      <w:r>
        <w:rPr>
          <w:rFonts w:ascii="宋体" w:hAnsi="宋体" w:eastAsia="宋体" w:cs="宋体"/>
          <w:color w:val="404040"/>
          <w:sz w:val="26"/>
          <w:szCs w:val="26"/>
          <w:highlight w:val="none"/>
        </w:rPr>
        <w:t>在采购报名、采购调研等采购过程中有任何异议，可联系我院监督科室。电话：83660063-8407；83660063-8467。</w:t>
      </w:r>
    </w:p>
    <w:p w14:paraId="15B10CD5">
      <w:pPr>
        <w:adjustRightInd/>
        <w:snapToGrid/>
        <w:spacing w:before="150" w:after="0" w:line="480" w:lineRule="atLeast"/>
        <w:jc w:val="both"/>
        <w:rPr>
          <w:rFonts w:hint="eastAsia" w:ascii="宋体" w:hAnsi="宋体" w:eastAsia="宋体" w:cs="宋体"/>
          <w:b/>
          <w:bCs/>
          <w:color w:val="404040"/>
          <w:sz w:val="26"/>
          <w:highlight w:val="none"/>
        </w:rPr>
      </w:pPr>
      <w:r>
        <w:rPr>
          <w:rFonts w:hint="eastAsia" w:ascii="宋体" w:hAnsi="宋体" w:eastAsia="宋体" w:cs="宋体"/>
          <w:b/>
          <w:bCs/>
          <w:color w:val="404040"/>
          <w:sz w:val="26"/>
          <w:highlight w:val="none"/>
        </w:rPr>
        <w:t>十一、以上条款由采购人全权解释</w:t>
      </w:r>
    </w:p>
    <w:p w14:paraId="3DBC4F25">
      <w:pPr>
        <w:pStyle w:val="16"/>
        <w:rPr>
          <w:rFonts w:hint="eastAsia" w:ascii="宋体" w:hAnsi="宋体" w:eastAsia="宋体" w:cs="仿宋_GB2312"/>
          <w:b/>
          <w:sz w:val="24"/>
          <w:szCs w:val="24"/>
          <w:highlight w:val="none"/>
        </w:rPr>
      </w:pPr>
    </w:p>
    <w:p w14:paraId="5038ACDC">
      <w:pPr>
        <w:adjustRightInd/>
        <w:snapToGrid/>
        <w:spacing w:after="0"/>
        <w:jc w:val="right"/>
        <w:rPr>
          <w:rFonts w:hint="eastAsia" w:ascii="宋体" w:hAnsi="宋体" w:eastAsia="宋体" w:cs="宋体"/>
          <w:color w:val="404040"/>
          <w:sz w:val="26"/>
          <w:szCs w:val="26"/>
          <w:highlight w:val="none"/>
        </w:rPr>
      </w:pPr>
      <w:r>
        <w:rPr>
          <w:rFonts w:hint="eastAsia" w:ascii="宋体" w:hAnsi="宋体" w:eastAsia="宋体" w:cs="宋体"/>
          <w:color w:val="404040"/>
          <w:sz w:val="26"/>
          <w:szCs w:val="26"/>
          <w:highlight w:val="none"/>
        </w:rPr>
        <w:t>福建省肿瘤医院</w:t>
      </w:r>
    </w:p>
    <w:p w14:paraId="34F9109D">
      <w:pPr>
        <w:pStyle w:val="16"/>
        <w:jc w:val="right"/>
        <w:rPr>
          <w:rFonts w:hint="eastAsia" w:ascii="宋体" w:hAnsi="宋体" w:eastAsia="宋体" w:cs="仿宋_GB2312"/>
          <w:b/>
          <w:sz w:val="24"/>
          <w:szCs w:val="24"/>
          <w:highlight w:val="none"/>
        </w:rPr>
      </w:pPr>
      <w:r>
        <w:rPr>
          <w:rFonts w:hint="eastAsia" w:ascii="宋体" w:hAnsi="宋体" w:eastAsia="宋体" w:cs="宋体"/>
          <w:color w:val="404040"/>
          <w:sz w:val="26"/>
          <w:szCs w:val="26"/>
          <w:highlight w:val="none"/>
        </w:rPr>
        <w:t>2024年</w:t>
      </w:r>
      <w:r>
        <w:rPr>
          <w:rFonts w:hint="eastAsia" w:ascii="宋体" w:hAnsi="宋体" w:eastAsia="宋体" w:cs="宋体"/>
          <w:color w:val="404040"/>
          <w:sz w:val="26"/>
          <w:szCs w:val="26"/>
          <w:highlight w:val="none"/>
          <w:lang w:val="en-US" w:eastAsia="zh-CN"/>
        </w:rPr>
        <w:t>10</w:t>
      </w:r>
      <w:r>
        <w:rPr>
          <w:rFonts w:hint="eastAsia" w:ascii="宋体" w:hAnsi="宋体" w:eastAsia="宋体" w:cs="宋体"/>
          <w:color w:val="404040"/>
          <w:sz w:val="26"/>
          <w:szCs w:val="26"/>
          <w:highlight w:val="none"/>
        </w:rPr>
        <w:t>月</w:t>
      </w:r>
      <w:r>
        <w:rPr>
          <w:rFonts w:hint="eastAsia" w:ascii="宋体" w:hAnsi="宋体" w:eastAsia="宋体" w:cs="宋体"/>
          <w:color w:val="404040"/>
          <w:sz w:val="26"/>
          <w:szCs w:val="26"/>
          <w:highlight w:val="none"/>
          <w:lang w:val="en-US" w:eastAsia="zh-CN"/>
        </w:rPr>
        <w:t>12</w:t>
      </w:r>
      <w:r>
        <w:rPr>
          <w:rFonts w:hint="eastAsia" w:ascii="宋体" w:hAnsi="宋体" w:eastAsia="宋体" w:cs="宋体"/>
          <w:color w:val="404040"/>
          <w:sz w:val="26"/>
          <w:szCs w:val="26"/>
          <w:highlight w:val="none"/>
        </w:rPr>
        <w:t>日</w:t>
      </w:r>
    </w:p>
    <w:p w14:paraId="5EBF383A">
      <w:pPr>
        <w:adjustRightInd/>
        <w:snapToGrid/>
        <w:spacing w:after="0"/>
        <w:rPr>
          <w:rFonts w:hint="eastAsia" w:ascii="宋体" w:hAnsi="宋体" w:eastAsia="宋体" w:cs="仿宋_GB2312"/>
          <w:b/>
          <w:sz w:val="24"/>
          <w:szCs w:val="24"/>
          <w:highlight w:val="none"/>
        </w:rPr>
      </w:pPr>
      <w:r>
        <w:rPr>
          <w:rFonts w:ascii="宋体" w:hAnsi="宋体" w:eastAsia="宋体" w:cs="仿宋_GB2312"/>
          <w:b/>
          <w:sz w:val="24"/>
          <w:szCs w:val="24"/>
          <w:highlight w:val="none"/>
        </w:rPr>
        <w:br w:type="page"/>
      </w:r>
    </w:p>
    <w:p w14:paraId="1649B0EA">
      <w:pPr>
        <w:widowControl w:val="0"/>
        <w:adjustRightInd/>
        <w:snapToGrid/>
        <w:spacing w:after="0" w:line="590" w:lineRule="exact"/>
        <w:jc w:val="center"/>
        <w:rPr>
          <w:rFonts w:hint="eastAsia" w:ascii="宋体" w:hAnsi="宋体" w:eastAsia="宋体" w:cs="宋体"/>
          <w:color w:val="404040"/>
          <w:sz w:val="26"/>
          <w:szCs w:val="26"/>
          <w:highlight w:val="none"/>
        </w:rPr>
      </w:pPr>
      <w:r>
        <w:rPr>
          <w:rFonts w:ascii="宋体" w:hAnsi="宋体" w:eastAsia="宋体" w:cs="宋体"/>
          <w:color w:val="404040"/>
          <w:sz w:val="26"/>
          <w:szCs w:val="26"/>
          <w:highlight w:val="none"/>
        </w:rPr>
        <w:t>报价内容一览</w:t>
      </w:r>
    </w:p>
    <w:tbl>
      <w:tblPr>
        <w:tblStyle w:val="20"/>
        <w:tblW w:w="67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21"/>
        <w:gridCol w:w="1438"/>
        <w:gridCol w:w="1082"/>
        <w:gridCol w:w="1436"/>
      </w:tblGrid>
      <w:tr w14:paraId="171DD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821" w:type="dxa"/>
            <w:shd w:val="clear" w:color="FFFFFF" w:fill="auto"/>
            <w:vAlign w:val="center"/>
          </w:tcPr>
          <w:p w14:paraId="1814AE70">
            <w:pPr>
              <w:widowControl w:val="0"/>
              <w:adjustRightInd/>
              <w:snapToGrid/>
              <w:spacing w:after="0" w:line="340" w:lineRule="exact"/>
              <w:jc w:val="center"/>
              <w:rPr>
                <w:rFonts w:hint="eastAsia" w:ascii="宋体" w:hAnsi="宋体" w:eastAsia="宋体" w:cs="宋体"/>
                <w:color w:val="404040"/>
                <w:sz w:val="26"/>
                <w:szCs w:val="26"/>
                <w:highlight w:val="none"/>
              </w:rPr>
            </w:pPr>
            <w:r>
              <w:rPr>
                <w:rFonts w:ascii="宋体" w:hAnsi="宋体" w:eastAsia="宋体" w:cs="宋体"/>
                <w:color w:val="404040"/>
                <w:sz w:val="26"/>
                <w:szCs w:val="26"/>
                <w:highlight w:val="none"/>
              </w:rPr>
              <w:t>项目名称</w:t>
            </w:r>
          </w:p>
        </w:tc>
        <w:tc>
          <w:tcPr>
            <w:tcW w:w="1438" w:type="dxa"/>
            <w:shd w:val="clear" w:color="FFFFFF" w:fill="auto"/>
            <w:vAlign w:val="center"/>
          </w:tcPr>
          <w:p w14:paraId="6A0DE1F3">
            <w:pPr>
              <w:widowControl w:val="0"/>
              <w:adjustRightInd/>
              <w:snapToGrid/>
              <w:spacing w:after="0" w:line="340" w:lineRule="exact"/>
              <w:jc w:val="center"/>
              <w:rPr>
                <w:rFonts w:hint="eastAsia" w:ascii="宋体" w:hAnsi="宋体" w:eastAsia="宋体" w:cs="宋体"/>
                <w:color w:val="404040"/>
                <w:sz w:val="26"/>
                <w:szCs w:val="26"/>
                <w:highlight w:val="none"/>
              </w:rPr>
            </w:pPr>
            <w:r>
              <w:rPr>
                <w:rFonts w:ascii="宋体" w:hAnsi="宋体" w:eastAsia="宋体" w:cs="宋体"/>
                <w:color w:val="404040"/>
                <w:sz w:val="26"/>
                <w:szCs w:val="26"/>
                <w:highlight w:val="none"/>
              </w:rPr>
              <w:t>招标方式</w:t>
            </w:r>
          </w:p>
        </w:tc>
        <w:tc>
          <w:tcPr>
            <w:tcW w:w="1082" w:type="dxa"/>
            <w:shd w:val="clear" w:color="FFFFFF" w:fill="auto"/>
            <w:vAlign w:val="center"/>
          </w:tcPr>
          <w:p w14:paraId="52090383">
            <w:pPr>
              <w:widowControl w:val="0"/>
              <w:adjustRightInd/>
              <w:snapToGrid/>
              <w:spacing w:after="0" w:line="340" w:lineRule="exact"/>
              <w:jc w:val="center"/>
              <w:rPr>
                <w:rFonts w:hint="eastAsia" w:ascii="宋体" w:hAnsi="宋体" w:eastAsia="宋体" w:cs="宋体"/>
                <w:color w:val="404040"/>
                <w:sz w:val="26"/>
                <w:szCs w:val="26"/>
                <w:highlight w:val="none"/>
              </w:rPr>
            </w:pPr>
            <w:r>
              <w:rPr>
                <w:rFonts w:ascii="宋体" w:hAnsi="宋体" w:eastAsia="宋体" w:cs="宋体"/>
                <w:color w:val="404040"/>
                <w:sz w:val="26"/>
                <w:szCs w:val="26"/>
                <w:highlight w:val="none"/>
              </w:rPr>
              <w:t>控制价</w:t>
            </w:r>
          </w:p>
        </w:tc>
        <w:tc>
          <w:tcPr>
            <w:tcW w:w="1436" w:type="dxa"/>
            <w:shd w:val="clear" w:color="FFFFFF" w:fill="auto"/>
            <w:vAlign w:val="center"/>
          </w:tcPr>
          <w:p w14:paraId="63EDA4C1">
            <w:pPr>
              <w:widowControl w:val="0"/>
              <w:adjustRightInd/>
              <w:snapToGrid/>
              <w:spacing w:after="0" w:line="340" w:lineRule="exact"/>
              <w:jc w:val="center"/>
              <w:rPr>
                <w:rFonts w:hint="eastAsia" w:ascii="宋体" w:hAnsi="宋体" w:eastAsia="宋体" w:cs="宋体"/>
                <w:color w:val="404040"/>
                <w:sz w:val="26"/>
                <w:szCs w:val="26"/>
                <w:highlight w:val="none"/>
              </w:rPr>
            </w:pPr>
            <w:r>
              <w:rPr>
                <w:rFonts w:hint="eastAsia" w:ascii="宋体" w:hAnsi="宋体" w:eastAsia="宋体" w:cs="宋体"/>
                <w:color w:val="404040"/>
                <w:sz w:val="26"/>
                <w:szCs w:val="26"/>
                <w:highlight w:val="none"/>
              </w:rPr>
              <w:t>数量及</w:t>
            </w:r>
            <w:r>
              <w:rPr>
                <w:rFonts w:ascii="宋体" w:hAnsi="宋体" w:eastAsia="宋体" w:cs="宋体"/>
                <w:color w:val="404040"/>
                <w:sz w:val="26"/>
                <w:szCs w:val="26"/>
                <w:highlight w:val="none"/>
              </w:rPr>
              <w:t>要求</w:t>
            </w:r>
          </w:p>
        </w:tc>
      </w:tr>
      <w:tr w14:paraId="49EB3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6" w:hRule="atLeast"/>
          <w:jc w:val="center"/>
        </w:trPr>
        <w:tc>
          <w:tcPr>
            <w:tcW w:w="2821" w:type="dxa"/>
            <w:vAlign w:val="center"/>
          </w:tcPr>
          <w:p w14:paraId="30FE4C0A">
            <w:pPr>
              <w:adjustRightInd/>
              <w:snapToGrid/>
              <w:spacing w:after="0" w:line="480" w:lineRule="atLeast"/>
              <w:rPr>
                <w:rFonts w:hint="eastAsia" w:ascii="宋体" w:hAnsi="宋体" w:eastAsia="宋体" w:cs="宋体"/>
                <w:color w:val="404040"/>
                <w:sz w:val="26"/>
                <w:szCs w:val="26"/>
                <w:highlight w:val="none"/>
              </w:rPr>
            </w:pPr>
            <w:r>
              <w:rPr>
                <w:rFonts w:ascii="宋体" w:hAnsi="宋体" w:eastAsia="宋体" w:cs="宋体"/>
                <w:color w:val="404040"/>
                <w:sz w:val="26"/>
                <w:szCs w:val="26"/>
                <w:highlight w:val="none"/>
              </w:rPr>
              <w:t>福建省肿瘤医院</w:t>
            </w:r>
            <w:r>
              <w:rPr>
                <w:rFonts w:hint="eastAsia" w:ascii="宋体" w:hAnsi="宋体" w:eastAsia="宋体" w:cs="宋体"/>
                <w:color w:val="404040"/>
                <w:sz w:val="26"/>
                <w:szCs w:val="26"/>
                <w:highlight w:val="none"/>
              </w:rPr>
              <w:t>电梯物联网监控采购项目</w:t>
            </w:r>
          </w:p>
        </w:tc>
        <w:tc>
          <w:tcPr>
            <w:tcW w:w="1438" w:type="dxa"/>
            <w:vAlign w:val="center"/>
          </w:tcPr>
          <w:p w14:paraId="262993A9">
            <w:pPr>
              <w:spacing w:line="340" w:lineRule="exact"/>
              <w:jc w:val="center"/>
              <w:rPr>
                <w:rFonts w:hint="eastAsia" w:ascii="宋体" w:hAnsi="宋体" w:eastAsia="宋体" w:cs="宋体"/>
                <w:i/>
                <w:iCs/>
                <w:color w:val="404040"/>
                <w:sz w:val="26"/>
                <w:szCs w:val="26"/>
                <w:highlight w:val="none"/>
              </w:rPr>
            </w:pPr>
            <w:r>
              <w:rPr>
                <w:rFonts w:hint="eastAsia" w:ascii="宋体" w:hAnsi="宋体" w:eastAsia="宋体" w:cs="宋体"/>
                <w:color w:val="404040"/>
                <w:sz w:val="26"/>
                <w:szCs w:val="26"/>
                <w:highlight w:val="none"/>
              </w:rPr>
              <w:t>综合评分</w:t>
            </w:r>
          </w:p>
        </w:tc>
        <w:tc>
          <w:tcPr>
            <w:tcW w:w="1082" w:type="dxa"/>
            <w:vAlign w:val="center"/>
          </w:tcPr>
          <w:p w14:paraId="0F69DD20">
            <w:pPr>
              <w:spacing w:line="340" w:lineRule="exact"/>
              <w:jc w:val="center"/>
              <w:rPr>
                <w:rFonts w:hint="eastAsia" w:ascii="宋体" w:hAnsi="宋体" w:eastAsia="宋体" w:cs="宋体"/>
                <w:color w:val="404040"/>
                <w:sz w:val="26"/>
                <w:szCs w:val="26"/>
                <w:highlight w:val="none"/>
              </w:rPr>
            </w:pPr>
            <w:r>
              <w:rPr>
                <w:rFonts w:hint="eastAsia" w:ascii="宋体" w:hAnsi="宋体" w:eastAsia="宋体" w:cs="宋体"/>
                <w:color w:val="404040"/>
                <w:sz w:val="26"/>
                <w:szCs w:val="26"/>
                <w:highlight w:val="none"/>
              </w:rPr>
              <w:t>14.4</w:t>
            </w:r>
            <w:r>
              <w:rPr>
                <w:rFonts w:ascii="宋体" w:hAnsi="宋体" w:eastAsia="宋体" w:cs="宋体"/>
                <w:color w:val="404040"/>
                <w:sz w:val="26"/>
                <w:szCs w:val="26"/>
                <w:highlight w:val="none"/>
              </w:rPr>
              <w:t>万</w:t>
            </w:r>
          </w:p>
        </w:tc>
        <w:tc>
          <w:tcPr>
            <w:tcW w:w="1436" w:type="dxa"/>
            <w:vAlign w:val="center"/>
          </w:tcPr>
          <w:p w14:paraId="132EEAF1">
            <w:pPr>
              <w:spacing w:line="340" w:lineRule="exact"/>
              <w:jc w:val="center"/>
              <w:rPr>
                <w:rFonts w:hint="eastAsia" w:ascii="宋体" w:hAnsi="宋体" w:eastAsia="宋体" w:cs="宋体"/>
                <w:b/>
                <w:bCs/>
                <w:color w:val="404040"/>
                <w:sz w:val="26"/>
                <w:szCs w:val="26"/>
                <w:highlight w:val="none"/>
              </w:rPr>
            </w:pPr>
            <w:r>
              <w:rPr>
                <w:rFonts w:ascii="宋体" w:hAnsi="宋体" w:eastAsia="宋体" w:cs="宋体"/>
                <w:color w:val="404040"/>
                <w:sz w:val="26"/>
                <w:szCs w:val="26"/>
                <w:highlight w:val="none"/>
              </w:rPr>
              <w:t>详见附件</w:t>
            </w:r>
          </w:p>
        </w:tc>
      </w:tr>
    </w:tbl>
    <w:p w14:paraId="01DF9E4E">
      <w:pPr>
        <w:adjustRightInd/>
        <w:snapToGrid/>
        <w:spacing w:before="150" w:after="0" w:line="480" w:lineRule="atLeast"/>
        <w:ind w:firstLine="480"/>
        <w:jc w:val="both"/>
        <w:rPr>
          <w:rFonts w:hint="eastAsia" w:ascii="宋体" w:hAnsi="宋体" w:eastAsia="宋体" w:cs="宋体"/>
          <w:color w:val="404040"/>
          <w:sz w:val="26"/>
          <w:szCs w:val="26"/>
          <w:highlight w:val="none"/>
        </w:rPr>
      </w:pPr>
      <w:r>
        <w:rPr>
          <w:rFonts w:hint="eastAsia" w:ascii="宋体" w:hAnsi="宋体" w:eastAsia="宋体" w:cs="宋体"/>
          <w:color w:val="404040"/>
          <w:sz w:val="26"/>
          <w:szCs w:val="26"/>
          <w:highlight w:val="none"/>
        </w:rPr>
        <w:t>备注：1、如双方对招标内容产生歧义，最终解释权归采购人。</w:t>
      </w:r>
    </w:p>
    <w:p w14:paraId="5308C099">
      <w:pPr>
        <w:adjustRightInd/>
        <w:snapToGrid/>
        <w:spacing w:before="150" w:after="0" w:line="480" w:lineRule="atLeast"/>
        <w:ind w:firstLine="1300" w:firstLineChars="500"/>
        <w:jc w:val="both"/>
        <w:rPr>
          <w:rFonts w:hint="eastAsia" w:ascii="宋体" w:hAnsi="宋体" w:eastAsia="宋体" w:cs="宋体"/>
          <w:color w:val="404040"/>
          <w:sz w:val="26"/>
          <w:szCs w:val="26"/>
          <w:highlight w:val="none"/>
        </w:rPr>
      </w:pPr>
      <w:r>
        <w:rPr>
          <w:rFonts w:hint="eastAsia" w:ascii="宋体" w:hAnsi="宋体" w:eastAsia="宋体" w:cs="宋体"/>
          <w:color w:val="404040"/>
          <w:sz w:val="26"/>
          <w:szCs w:val="26"/>
          <w:highlight w:val="none"/>
        </w:rPr>
        <w:t>2、本项目结算金额按照实际采购量据实结算。</w:t>
      </w:r>
    </w:p>
    <w:p w14:paraId="0F6C7029">
      <w:pPr>
        <w:pStyle w:val="16"/>
        <w:rPr>
          <w:rFonts w:hint="eastAsia" w:ascii="宋体" w:hAnsi="宋体" w:eastAsia="宋体" w:cs="仿宋_GB2312"/>
          <w:b/>
          <w:sz w:val="24"/>
          <w:szCs w:val="24"/>
          <w:highlight w:val="none"/>
        </w:rPr>
      </w:pPr>
    </w:p>
    <w:p w14:paraId="2C5035D7">
      <w:pPr>
        <w:adjustRightInd/>
        <w:snapToGrid/>
        <w:spacing w:after="0"/>
        <w:rPr>
          <w:rFonts w:hint="eastAsia" w:ascii="宋体" w:hAnsi="宋体" w:eastAsia="宋体" w:cs="仿宋_GB2312"/>
          <w:b/>
          <w:sz w:val="24"/>
          <w:szCs w:val="24"/>
          <w:highlight w:val="none"/>
        </w:rPr>
      </w:pPr>
    </w:p>
    <w:p w14:paraId="4CE2A8D3">
      <w:pPr>
        <w:pStyle w:val="16"/>
        <w:rPr>
          <w:rFonts w:hint="eastAsia" w:ascii="宋体" w:hAnsi="宋体" w:eastAsia="宋体" w:cs="仿宋_GB2312"/>
          <w:b/>
          <w:sz w:val="24"/>
          <w:szCs w:val="24"/>
          <w:highlight w:val="none"/>
        </w:rPr>
      </w:pPr>
    </w:p>
    <w:p w14:paraId="27254B6F">
      <w:pPr>
        <w:pStyle w:val="16"/>
        <w:rPr>
          <w:rFonts w:hint="eastAsia" w:ascii="宋体" w:hAnsi="宋体" w:eastAsia="宋体" w:cs="仿宋_GB2312"/>
          <w:b/>
          <w:sz w:val="24"/>
          <w:szCs w:val="24"/>
          <w:highlight w:val="none"/>
        </w:rPr>
      </w:pPr>
    </w:p>
    <w:p w14:paraId="5F7515A1">
      <w:pPr>
        <w:pStyle w:val="16"/>
        <w:rPr>
          <w:rFonts w:hint="eastAsia" w:ascii="宋体" w:hAnsi="宋体" w:eastAsia="宋体" w:cs="仿宋_GB2312"/>
          <w:b/>
          <w:sz w:val="24"/>
          <w:szCs w:val="24"/>
          <w:highlight w:val="none"/>
        </w:rPr>
      </w:pPr>
    </w:p>
    <w:p w14:paraId="7C1FF6C2">
      <w:pPr>
        <w:pStyle w:val="16"/>
        <w:rPr>
          <w:rFonts w:hint="eastAsia" w:ascii="宋体" w:hAnsi="宋体" w:eastAsia="宋体" w:cs="仿宋_GB2312"/>
          <w:b/>
          <w:sz w:val="24"/>
          <w:szCs w:val="24"/>
          <w:highlight w:val="none"/>
        </w:rPr>
      </w:pPr>
    </w:p>
    <w:p w14:paraId="2DB084A5">
      <w:pPr>
        <w:pStyle w:val="16"/>
        <w:rPr>
          <w:rFonts w:hint="eastAsia" w:ascii="宋体" w:hAnsi="宋体" w:eastAsia="宋体" w:cs="仿宋_GB2312"/>
          <w:b/>
          <w:sz w:val="24"/>
          <w:szCs w:val="24"/>
          <w:highlight w:val="none"/>
        </w:rPr>
      </w:pPr>
    </w:p>
    <w:p w14:paraId="05487C26">
      <w:pPr>
        <w:pStyle w:val="16"/>
        <w:rPr>
          <w:rFonts w:hint="eastAsia" w:ascii="宋体" w:hAnsi="宋体" w:eastAsia="宋体" w:cs="仿宋_GB2312"/>
          <w:b/>
          <w:sz w:val="24"/>
          <w:szCs w:val="24"/>
          <w:highlight w:val="none"/>
        </w:rPr>
      </w:pPr>
    </w:p>
    <w:p w14:paraId="37ACA8F3">
      <w:pPr>
        <w:pStyle w:val="16"/>
        <w:rPr>
          <w:rFonts w:hint="eastAsia" w:ascii="宋体" w:hAnsi="宋体" w:eastAsia="宋体" w:cs="仿宋_GB2312"/>
          <w:b/>
          <w:sz w:val="24"/>
          <w:szCs w:val="24"/>
          <w:highlight w:val="none"/>
        </w:rPr>
      </w:pPr>
    </w:p>
    <w:p w14:paraId="326B837F">
      <w:pPr>
        <w:pStyle w:val="16"/>
        <w:rPr>
          <w:rFonts w:hint="eastAsia" w:ascii="宋体" w:hAnsi="宋体" w:eastAsia="宋体" w:cs="仿宋_GB2312"/>
          <w:b/>
          <w:sz w:val="24"/>
          <w:szCs w:val="24"/>
          <w:highlight w:val="none"/>
        </w:rPr>
      </w:pPr>
    </w:p>
    <w:p w14:paraId="456F4D2B">
      <w:pPr>
        <w:pStyle w:val="16"/>
        <w:rPr>
          <w:rFonts w:hint="eastAsia" w:ascii="宋体" w:hAnsi="宋体" w:eastAsia="宋体" w:cs="仿宋_GB2312"/>
          <w:b/>
          <w:sz w:val="24"/>
          <w:szCs w:val="24"/>
          <w:highlight w:val="none"/>
        </w:rPr>
      </w:pPr>
    </w:p>
    <w:p w14:paraId="0D63252D">
      <w:pPr>
        <w:pStyle w:val="16"/>
        <w:rPr>
          <w:rFonts w:hint="eastAsia" w:ascii="宋体" w:hAnsi="宋体" w:eastAsia="宋体" w:cs="仿宋_GB2312"/>
          <w:b/>
          <w:sz w:val="24"/>
          <w:szCs w:val="24"/>
          <w:highlight w:val="none"/>
        </w:rPr>
      </w:pPr>
    </w:p>
    <w:p w14:paraId="538FEA81">
      <w:pPr>
        <w:pStyle w:val="16"/>
        <w:rPr>
          <w:rFonts w:hint="eastAsia" w:ascii="宋体" w:hAnsi="宋体" w:eastAsia="宋体" w:cs="仿宋_GB2312"/>
          <w:b/>
          <w:sz w:val="24"/>
          <w:szCs w:val="24"/>
          <w:highlight w:val="none"/>
        </w:rPr>
      </w:pPr>
    </w:p>
    <w:p w14:paraId="79AD82D1">
      <w:pPr>
        <w:pStyle w:val="16"/>
        <w:rPr>
          <w:rFonts w:hint="eastAsia" w:ascii="宋体" w:hAnsi="宋体" w:eastAsia="宋体" w:cs="仿宋_GB2312"/>
          <w:b/>
          <w:sz w:val="24"/>
          <w:szCs w:val="24"/>
          <w:highlight w:val="none"/>
        </w:rPr>
      </w:pPr>
    </w:p>
    <w:p w14:paraId="4EF6021D">
      <w:pPr>
        <w:pStyle w:val="27"/>
        <w:rPr>
          <w:rFonts w:ascii="宋体" w:hAnsi="宋体" w:cs="宋体"/>
          <w:bCs/>
          <w:sz w:val="26"/>
          <w:szCs w:val="26"/>
          <w:highlight w:val="none"/>
        </w:rPr>
      </w:pPr>
      <w:r>
        <w:rPr>
          <w:rFonts w:ascii="宋体" w:hAnsi="宋体" w:cs="宋体"/>
          <w:bCs/>
          <w:sz w:val="26"/>
          <w:szCs w:val="26"/>
          <w:highlight w:val="none"/>
        </w:rPr>
        <w:t>附件1：</w:t>
      </w:r>
    </w:p>
    <w:p w14:paraId="4CEE05E1">
      <w:pPr>
        <w:pStyle w:val="27"/>
        <w:rPr>
          <w:rFonts w:ascii="宋体" w:hAnsi="宋体" w:cs="宋体"/>
          <w:bCs/>
          <w:sz w:val="26"/>
          <w:szCs w:val="26"/>
          <w:highlight w:val="none"/>
        </w:rPr>
      </w:pPr>
      <w:r>
        <w:rPr>
          <w:rFonts w:ascii="宋体" w:hAnsi="宋体" w:cs="宋体"/>
          <w:bCs/>
          <w:sz w:val="26"/>
          <w:szCs w:val="26"/>
          <w:highlight w:val="none"/>
        </w:rPr>
        <w:t>一、采购标的</w:t>
      </w:r>
    </w:p>
    <w:tbl>
      <w:tblPr>
        <w:tblStyle w:val="20"/>
        <w:tblW w:w="929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911"/>
        <w:gridCol w:w="1140"/>
        <w:gridCol w:w="2084"/>
        <w:gridCol w:w="2159"/>
      </w:tblGrid>
      <w:tr w14:paraId="402A82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42" w:hRule="atLeast"/>
        </w:trPr>
        <w:tc>
          <w:tcPr>
            <w:tcW w:w="3911" w:type="dxa"/>
            <w:vAlign w:val="center"/>
          </w:tcPr>
          <w:p w14:paraId="279BFF58">
            <w:pPr>
              <w:pStyle w:val="27"/>
              <w:jc w:val="center"/>
              <w:rPr>
                <w:rFonts w:ascii="宋体" w:hAnsi="宋体"/>
                <w:bCs/>
                <w:kern w:val="2"/>
                <w:sz w:val="26"/>
                <w:szCs w:val="26"/>
                <w:highlight w:val="none"/>
              </w:rPr>
            </w:pPr>
            <w:r>
              <w:rPr>
                <w:rFonts w:ascii="宋体" w:hAnsi="宋体"/>
                <w:bCs/>
                <w:kern w:val="2"/>
                <w:sz w:val="26"/>
                <w:szCs w:val="26"/>
                <w:highlight w:val="none"/>
              </w:rPr>
              <w:t>标的名称</w:t>
            </w:r>
          </w:p>
        </w:tc>
        <w:tc>
          <w:tcPr>
            <w:tcW w:w="1140" w:type="dxa"/>
            <w:vAlign w:val="center"/>
          </w:tcPr>
          <w:p w14:paraId="263A136D">
            <w:pPr>
              <w:pStyle w:val="27"/>
              <w:jc w:val="center"/>
              <w:rPr>
                <w:rFonts w:ascii="宋体" w:hAnsi="宋体"/>
                <w:bCs/>
                <w:kern w:val="2"/>
                <w:sz w:val="26"/>
                <w:szCs w:val="26"/>
                <w:highlight w:val="none"/>
              </w:rPr>
            </w:pPr>
            <w:r>
              <w:rPr>
                <w:rFonts w:ascii="宋体" w:hAnsi="宋体"/>
                <w:bCs/>
                <w:kern w:val="2"/>
                <w:sz w:val="26"/>
                <w:szCs w:val="26"/>
                <w:highlight w:val="none"/>
              </w:rPr>
              <w:t>数量</w:t>
            </w:r>
          </w:p>
        </w:tc>
        <w:tc>
          <w:tcPr>
            <w:tcW w:w="2084" w:type="dxa"/>
            <w:vAlign w:val="center"/>
          </w:tcPr>
          <w:p w14:paraId="25112671">
            <w:pPr>
              <w:pStyle w:val="27"/>
              <w:jc w:val="center"/>
              <w:rPr>
                <w:rFonts w:ascii="宋体" w:hAnsi="宋体"/>
                <w:bCs/>
                <w:kern w:val="2"/>
                <w:sz w:val="26"/>
                <w:szCs w:val="26"/>
                <w:highlight w:val="none"/>
              </w:rPr>
            </w:pPr>
            <w:r>
              <w:rPr>
                <w:rFonts w:ascii="宋体" w:hAnsi="宋体"/>
                <w:bCs/>
                <w:kern w:val="2"/>
                <w:sz w:val="26"/>
                <w:szCs w:val="26"/>
                <w:highlight w:val="none"/>
              </w:rPr>
              <w:t>控制价（元）</w:t>
            </w:r>
          </w:p>
        </w:tc>
        <w:tc>
          <w:tcPr>
            <w:tcW w:w="2159" w:type="dxa"/>
            <w:vAlign w:val="center"/>
          </w:tcPr>
          <w:p w14:paraId="5DCBBEB1">
            <w:pPr>
              <w:pStyle w:val="27"/>
              <w:jc w:val="center"/>
              <w:rPr>
                <w:rFonts w:ascii="宋体" w:hAnsi="宋体"/>
                <w:bCs/>
                <w:kern w:val="2"/>
                <w:sz w:val="26"/>
                <w:szCs w:val="26"/>
                <w:highlight w:val="none"/>
              </w:rPr>
            </w:pPr>
            <w:r>
              <w:rPr>
                <w:rFonts w:ascii="宋体" w:hAnsi="宋体"/>
                <w:bCs/>
                <w:kern w:val="2"/>
                <w:sz w:val="26"/>
                <w:szCs w:val="26"/>
                <w:highlight w:val="none"/>
              </w:rPr>
              <w:t>服务期</w:t>
            </w:r>
          </w:p>
        </w:tc>
      </w:tr>
      <w:tr w14:paraId="094E66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87" w:hRule="atLeast"/>
        </w:trPr>
        <w:tc>
          <w:tcPr>
            <w:tcW w:w="3911" w:type="dxa"/>
            <w:vAlign w:val="center"/>
          </w:tcPr>
          <w:p w14:paraId="009654AB">
            <w:pPr>
              <w:pStyle w:val="27"/>
              <w:jc w:val="center"/>
              <w:rPr>
                <w:rFonts w:ascii="宋体" w:hAnsi="宋体"/>
                <w:bCs/>
                <w:kern w:val="2"/>
                <w:sz w:val="26"/>
                <w:szCs w:val="26"/>
                <w:highlight w:val="none"/>
              </w:rPr>
            </w:pPr>
            <w:r>
              <w:rPr>
                <w:rFonts w:hint="default" w:ascii="宋体" w:hAnsi="宋体"/>
                <w:bCs/>
                <w:kern w:val="2"/>
                <w:sz w:val="26"/>
                <w:szCs w:val="26"/>
                <w:highlight w:val="none"/>
              </w:rPr>
              <w:t>福建省肿瘤医院电梯物联网监控采购项目</w:t>
            </w:r>
          </w:p>
        </w:tc>
        <w:tc>
          <w:tcPr>
            <w:tcW w:w="1140" w:type="dxa"/>
            <w:vAlign w:val="center"/>
          </w:tcPr>
          <w:p w14:paraId="5A2DE77D">
            <w:pPr>
              <w:pStyle w:val="27"/>
              <w:jc w:val="center"/>
              <w:rPr>
                <w:rFonts w:ascii="宋体" w:hAnsi="宋体"/>
                <w:bCs/>
                <w:kern w:val="2"/>
                <w:sz w:val="26"/>
                <w:szCs w:val="26"/>
                <w:highlight w:val="none"/>
              </w:rPr>
            </w:pPr>
            <w:r>
              <w:rPr>
                <w:rFonts w:ascii="宋体" w:hAnsi="宋体"/>
                <w:bCs/>
                <w:sz w:val="26"/>
                <w:szCs w:val="26"/>
                <w:highlight w:val="none"/>
              </w:rPr>
              <w:t>电梯物联网装置</w:t>
            </w:r>
            <w:r>
              <w:rPr>
                <w:rFonts w:ascii="宋体" w:hAnsi="宋体"/>
                <w:bCs/>
                <w:kern w:val="2"/>
                <w:sz w:val="26"/>
                <w:szCs w:val="26"/>
                <w:highlight w:val="none"/>
              </w:rPr>
              <w:t>31个</w:t>
            </w:r>
          </w:p>
        </w:tc>
        <w:tc>
          <w:tcPr>
            <w:tcW w:w="2084" w:type="dxa"/>
            <w:vAlign w:val="center"/>
          </w:tcPr>
          <w:p w14:paraId="04131478">
            <w:pPr>
              <w:pStyle w:val="27"/>
              <w:jc w:val="center"/>
              <w:rPr>
                <w:rFonts w:ascii="宋体" w:hAnsi="宋体"/>
                <w:bCs/>
                <w:kern w:val="2"/>
                <w:sz w:val="26"/>
                <w:szCs w:val="26"/>
                <w:highlight w:val="none"/>
              </w:rPr>
            </w:pPr>
            <w:r>
              <w:rPr>
                <w:rFonts w:ascii="宋体" w:hAnsi="宋体" w:eastAsia="宋体" w:cs="宋体"/>
                <w:color w:val="404040"/>
                <w:sz w:val="26"/>
                <w:szCs w:val="26"/>
                <w:highlight w:val="none"/>
              </w:rPr>
              <w:t>14.4万</w:t>
            </w:r>
          </w:p>
        </w:tc>
        <w:tc>
          <w:tcPr>
            <w:tcW w:w="2159" w:type="dxa"/>
            <w:vAlign w:val="center"/>
          </w:tcPr>
          <w:p w14:paraId="6C29FC0F">
            <w:pPr>
              <w:pStyle w:val="27"/>
              <w:jc w:val="center"/>
              <w:rPr>
                <w:rFonts w:ascii="宋体" w:hAnsi="宋体"/>
                <w:bCs/>
                <w:kern w:val="2"/>
                <w:sz w:val="26"/>
                <w:szCs w:val="26"/>
                <w:highlight w:val="none"/>
              </w:rPr>
            </w:pPr>
            <w:r>
              <w:rPr>
                <w:rFonts w:ascii="宋体" w:hAnsi="宋体"/>
                <w:bCs/>
                <w:kern w:val="2"/>
                <w:sz w:val="26"/>
                <w:szCs w:val="26"/>
                <w:highlight w:val="none"/>
              </w:rPr>
              <w:t>品质保期为贰年</w:t>
            </w:r>
          </w:p>
        </w:tc>
      </w:tr>
    </w:tbl>
    <w:p w14:paraId="5A6BAA03">
      <w:pPr>
        <w:pStyle w:val="27"/>
        <w:rPr>
          <w:rFonts w:ascii="宋体" w:hAnsi="宋体" w:cs="宋体"/>
          <w:bCs/>
          <w:sz w:val="26"/>
          <w:szCs w:val="26"/>
          <w:highlight w:val="none"/>
        </w:rPr>
      </w:pPr>
    </w:p>
    <w:p w14:paraId="4B055E40">
      <w:pPr>
        <w:pStyle w:val="27"/>
        <w:rPr>
          <w:rFonts w:ascii="宋体" w:hAnsi="宋体" w:cs="宋体"/>
          <w:bCs/>
          <w:sz w:val="26"/>
          <w:szCs w:val="26"/>
          <w:highlight w:val="none"/>
        </w:rPr>
      </w:pPr>
      <w:r>
        <w:rPr>
          <w:rFonts w:ascii="宋体" w:hAnsi="宋体" w:cs="宋体"/>
          <w:bCs/>
          <w:sz w:val="26"/>
          <w:szCs w:val="26"/>
          <w:highlight w:val="none"/>
        </w:rPr>
        <w:t>二、参数要求</w:t>
      </w:r>
    </w:p>
    <w:p w14:paraId="7160B6E9">
      <w:pPr>
        <w:pStyle w:val="18"/>
        <w:spacing w:before="75" w:beforeAutospacing="0" w:after="75" w:afterAutospacing="0" w:line="360" w:lineRule="atLeast"/>
        <w:outlineLvl w:val="1"/>
        <w:rPr>
          <w:rFonts w:hint="eastAsia" w:ascii="宋体" w:hAnsi="宋体" w:eastAsia="宋体" w:cs="宋体"/>
          <w:bCs/>
          <w:sz w:val="26"/>
          <w:szCs w:val="26"/>
          <w:highlight w:val="none"/>
        </w:rPr>
      </w:pPr>
      <w:r>
        <w:rPr>
          <w:rFonts w:hint="eastAsia" w:ascii="宋体" w:hAnsi="宋体" w:eastAsia="宋体" w:cs="宋体"/>
          <w:bCs/>
          <w:sz w:val="26"/>
          <w:szCs w:val="26"/>
          <w:highlight w:val="none"/>
        </w:rPr>
        <w:t>1、物联网装置技术要求</w:t>
      </w:r>
    </w:p>
    <w:p w14:paraId="5D1A2344">
      <w:pPr>
        <w:pStyle w:val="18"/>
        <w:spacing w:before="75" w:beforeAutospacing="0" w:after="75" w:afterAutospacing="0" w:line="360" w:lineRule="atLeast"/>
        <w:outlineLvl w:val="1"/>
        <w:rPr>
          <w:rFonts w:hint="eastAsia" w:ascii="宋体" w:hAnsi="宋体" w:eastAsia="宋体" w:cs="宋体"/>
          <w:bCs/>
          <w:sz w:val="26"/>
          <w:szCs w:val="26"/>
          <w:highlight w:val="none"/>
        </w:rPr>
      </w:pPr>
    </w:p>
    <w:tbl>
      <w:tblPr>
        <w:tblStyle w:val="20"/>
        <w:tblW w:w="10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1473"/>
        <w:gridCol w:w="7765"/>
      </w:tblGrid>
      <w:tr w14:paraId="3B61E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63" w:type="dxa"/>
            <w:vAlign w:val="center"/>
          </w:tcPr>
          <w:p w14:paraId="449D2CB5">
            <w:pPr>
              <w:pStyle w:val="27"/>
              <w:jc w:val="both"/>
              <w:rPr>
                <w:rFonts w:ascii="宋体" w:hAnsi="宋体"/>
                <w:bCs/>
                <w:sz w:val="26"/>
                <w:szCs w:val="26"/>
                <w:highlight w:val="none"/>
              </w:rPr>
            </w:pPr>
            <w:r>
              <w:rPr>
                <w:rFonts w:ascii="宋体" w:hAnsi="宋体"/>
                <w:bCs/>
                <w:sz w:val="26"/>
                <w:szCs w:val="26"/>
                <w:highlight w:val="none"/>
              </w:rPr>
              <w:t>序号</w:t>
            </w:r>
          </w:p>
        </w:tc>
        <w:tc>
          <w:tcPr>
            <w:tcW w:w="1473" w:type="dxa"/>
            <w:vAlign w:val="center"/>
          </w:tcPr>
          <w:p w14:paraId="30A13F6E">
            <w:pPr>
              <w:pStyle w:val="27"/>
              <w:jc w:val="both"/>
              <w:rPr>
                <w:rFonts w:ascii="宋体" w:hAnsi="宋体"/>
                <w:bCs/>
                <w:sz w:val="26"/>
                <w:szCs w:val="26"/>
                <w:highlight w:val="none"/>
              </w:rPr>
            </w:pPr>
            <w:r>
              <w:rPr>
                <w:rFonts w:ascii="宋体" w:hAnsi="宋体"/>
                <w:bCs/>
                <w:sz w:val="26"/>
                <w:szCs w:val="26"/>
                <w:highlight w:val="none"/>
              </w:rPr>
              <w:t>服务/设备</w:t>
            </w:r>
          </w:p>
        </w:tc>
        <w:tc>
          <w:tcPr>
            <w:tcW w:w="7765" w:type="dxa"/>
            <w:vAlign w:val="center"/>
          </w:tcPr>
          <w:p w14:paraId="22B8C4C7">
            <w:pPr>
              <w:pStyle w:val="27"/>
              <w:jc w:val="both"/>
              <w:rPr>
                <w:rFonts w:ascii="宋体" w:hAnsi="宋体"/>
                <w:bCs/>
                <w:sz w:val="26"/>
                <w:szCs w:val="26"/>
                <w:highlight w:val="none"/>
              </w:rPr>
            </w:pPr>
            <w:r>
              <w:rPr>
                <w:rFonts w:ascii="宋体" w:hAnsi="宋体"/>
                <w:bCs/>
                <w:sz w:val="26"/>
                <w:szCs w:val="26"/>
                <w:highlight w:val="none"/>
              </w:rPr>
              <w:t>参数</w:t>
            </w:r>
          </w:p>
        </w:tc>
      </w:tr>
      <w:tr w14:paraId="557DD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5" w:hRule="atLeast"/>
          <w:jc w:val="center"/>
        </w:trPr>
        <w:tc>
          <w:tcPr>
            <w:tcW w:w="963" w:type="dxa"/>
            <w:vAlign w:val="center"/>
          </w:tcPr>
          <w:p w14:paraId="0459C73C">
            <w:pPr>
              <w:pStyle w:val="27"/>
              <w:jc w:val="both"/>
              <w:rPr>
                <w:rFonts w:ascii="宋体" w:hAnsi="宋体"/>
                <w:bCs/>
                <w:sz w:val="26"/>
                <w:szCs w:val="26"/>
                <w:highlight w:val="none"/>
              </w:rPr>
            </w:pPr>
            <w:r>
              <w:rPr>
                <w:rFonts w:ascii="宋体" w:hAnsi="宋体"/>
                <w:bCs/>
                <w:sz w:val="26"/>
                <w:szCs w:val="26"/>
                <w:highlight w:val="none"/>
              </w:rPr>
              <w:t>1-10</w:t>
            </w:r>
          </w:p>
        </w:tc>
        <w:tc>
          <w:tcPr>
            <w:tcW w:w="1473" w:type="dxa"/>
            <w:vMerge w:val="restart"/>
            <w:vAlign w:val="center"/>
          </w:tcPr>
          <w:p w14:paraId="6268C605">
            <w:pPr>
              <w:pStyle w:val="27"/>
              <w:jc w:val="both"/>
              <w:rPr>
                <w:rFonts w:ascii="宋体" w:hAnsi="宋体"/>
                <w:bCs/>
                <w:sz w:val="26"/>
                <w:szCs w:val="26"/>
                <w:highlight w:val="none"/>
              </w:rPr>
            </w:pPr>
            <w:r>
              <w:rPr>
                <w:rFonts w:ascii="宋体" w:hAnsi="宋体"/>
                <w:bCs/>
                <w:sz w:val="26"/>
                <w:szCs w:val="26"/>
                <w:highlight w:val="none"/>
              </w:rPr>
              <w:t>电梯物联网装置</w:t>
            </w:r>
          </w:p>
        </w:tc>
        <w:tc>
          <w:tcPr>
            <w:tcW w:w="7765" w:type="dxa"/>
            <w:vAlign w:val="center"/>
          </w:tcPr>
          <w:p w14:paraId="433F05B6">
            <w:pPr>
              <w:pStyle w:val="27"/>
              <w:jc w:val="both"/>
              <w:rPr>
                <w:rFonts w:ascii="宋体" w:hAnsi="宋体"/>
                <w:bCs/>
                <w:sz w:val="26"/>
                <w:szCs w:val="26"/>
                <w:highlight w:val="none"/>
              </w:rPr>
            </w:pPr>
            <w:r>
              <w:rPr>
                <w:rFonts w:ascii="宋体" w:hAnsi="宋体"/>
                <w:bCs/>
                <w:sz w:val="26"/>
                <w:szCs w:val="26"/>
                <w:highlight w:val="none"/>
              </w:rPr>
              <w:t>基本参数要求：</w:t>
            </w:r>
          </w:p>
          <w:p w14:paraId="1B03A0D0">
            <w:pPr>
              <w:pStyle w:val="27"/>
              <w:jc w:val="both"/>
              <w:rPr>
                <w:rFonts w:ascii="宋体" w:hAnsi="宋体"/>
                <w:bCs/>
                <w:sz w:val="26"/>
                <w:szCs w:val="26"/>
                <w:highlight w:val="none"/>
              </w:rPr>
            </w:pPr>
            <w:r>
              <w:rPr>
                <w:rFonts w:ascii="宋体" w:hAnsi="宋体"/>
                <w:bCs/>
                <w:sz w:val="26"/>
                <w:szCs w:val="26"/>
                <w:highlight w:val="none"/>
              </w:rPr>
              <w:t>1、设备功耗 5W MAX</w:t>
            </w:r>
          </w:p>
          <w:p w14:paraId="5FAD4189">
            <w:pPr>
              <w:pStyle w:val="27"/>
              <w:jc w:val="both"/>
              <w:rPr>
                <w:rFonts w:ascii="宋体" w:hAnsi="宋体"/>
                <w:bCs/>
                <w:sz w:val="26"/>
                <w:szCs w:val="26"/>
                <w:highlight w:val="none"/>
              </w:rPr>
            </w:pPr>
            <w:r>
              <w:rPr>
                <w:rFonts w:ascii="宋体" w:hAnsi="宋体"/>
                <w:bCs/>
                <w:sz w:val="26"/>
                <w:szCs w:val="26"/>
                <w:highlight w:val="none"/>
              </w:rPr>
              <w:t>2、网络接口 10/100M 自适应 RJ45 网口 LAN*2、WAN*1 个</w:t>
            </w:r>
          </w:p>
          <w:p w14:paraId="7ACDD085">
            <w:pPr>
              <w:pStyle w:val="27"/>
              <w:jc w:val="both"/>
              <w:rPr>
                <w:rFonts w:ascii="宋体" w:hAnsi="宋体"/>
                <w:bCs/>
                <w:sz w:val="26"/>
                <w:szCs w:val="26"/>
                <w:highlight w:val="none"/>
              </w:rPr>
            </w:pPr>
            <w:r>
              <w:rPr>
                <w:rFonts w:ascii="宋体" w:hAnsi="宋体"/>
                <w:bCs/>
                <w:sz w:val="26"/>
                <w:szCs w:val="26"/>
                <w:highlight w:val="none"/>
              </w:rPr>
              <w:t>3、像素 200 万</w:t>
            </w:r>
          </w:p>
          <w:p w14:paraId="7A721AEA">
            <w:pPr>
              <w:pStyle w:val="27"/>
              <w:jc w:val="both"/>
              <w:rPr>
                <w:rFonts w:ascii="宋体" w:hAnsi="宋体"/>
                <w:bCs/>
                <w:sz w:val="26"/>
                <w:szCs w:val="26"/>
                <w:highlight w:val="none"/>
              </w:rPr>
            </w:pPr>
            <w:r>
              <w:rPr>
                <w:rFonts w:ascii="宋体" w:hAnsi="宋体"/>
                <w:bCs/>
                <w:sz w:val="26"/>
                <w:szCs w:val="26"/>
                <w:highlight w:val="none"/>
              </w:rPr>
              <w:t>4、电子快门 1/3s~1/100000s（可手动或自动调节）</w:t>
            </w:r>
          </w:p>
          <w:p w14:paraId="09447665">
            <w:pPr>
              <w:pStyle w:val="27"/>
              <w:jc w:val="both"/>
              <w:rPr>
                <w:rFonts w:ascii="宋体" w:hAnsi="宋体"/>
                <w:bCs/>
                <w:sz w:val="26"/>
                <w:szCs w:val="26"/>
                <w:highlight w:val="none"/>
              </w:rPr>
            </w:pPr>
            <w:r>
              <w:rPr>
                <w:rFonts w:ascii="宋体" w:hAnsi="宋体"/>
                <w:bCs/>
                <w:sz w:val="26"/>
                <w:szCs w:val="26"/>
                <w:highlight w:val="none"/>
              </w:rPr>
              <w:t>5、最低照度 0.01Lux（彩色模式）；0.001Lux（黑白模式）</w:t>
            </w:r>
          </w:p>
          <w:p w14:paraId="5A911BAA">
            <w:pPr>
              <w:pStyle w:val="27"/>
              <w:jc w:val="both"/>
              <w:rPr>
                <w:rFonts w:ascii="宋体" w:hAnsi="宋体"/>
                <w:bCs/>
                <w:sz w:val="26"/>
                <w:szCs w:val="26"/>
                <w:highlight w:val="none"/>
              </w:rPr>
            </w:pPr>
            <w:r>
              <w:rPr>
                <w:rFonts w:ascii="宋体" w:hAnsi="宋体"/>
                <w:bCs/>
                <w:sz w:val="26"/>
                <w:szCs w:val="26"/>
                <w:highlight w:val="none"/>
              </w:rPr>
              <w:t>6、调整角度 水平：0°～355°；垂直：0°～75°；旋转 0°～360°</w:t>
            </w:r>
          </w:p>
          <w:p w14:paraId="0FFEE401">
            <w:pPr>
              <w:pStyle w:val="27"/>
              <w:jc w:val="both"/>
              <w:rPr>
                <w:rFonts w:ascii="宋体" w:hAnsi="宋体"/>
                <w:bCs/>
                <w:sz w:val="26"/>
                <w:szCs w:val="26"/>
                <w:highlight w:val="none"/>
              </w:rPr>
            </w:pPr>
            <w:r>
              <w:rPr>
                <w:rFonts w:ascii="宋体" w:hAnsi="宋体"/>
                <w:bCs/>
                <w:sz w:val="26"/>
                <w:szCs w:val="26"/>
                <w:highlight w:val="none"/>
              </w:rPr>
              <w:t>7、MicroSD 卡：128GB以上</w:t>
            </w:r>
          </w:p>
          <w:p w14:paraId="6BA32732">
            <w:pPr>
              <w:pStyle w:val="27"/>
              <w:jc w:val="both"/>
              <w:rPr>
                <w:rFonts w:ascii="宋体" w:hAnsi="宋体"/>
                <w:bCs/>
                <w:sz w:val="26"/>
                <w:szCs w:val="26"/>
                <w:highlight w:val="none"/>
              </w:rPr>
            </w:pPr>
            <w:r>
              <w:rPr>
                <w:rFonts w:ascii="宋体" w:hAnsi="宋体"/>
                <w:bCs/>
                <w:sz w:val="26"/>
                <w:szCs w:val="26"/>
                <w:highlight w:val="none"/>
              </w:rPr>
              <w:t>8、镜头类型 定焦</w:t>
            </w:r>
          </w:p>
          <w:p w14:paraId="58D79F84">
            <w:pPr>
              <w:pStyle w:val="27"/>
              <w:jc w:val="both"/>
              <w:rPr>
                <w:rFonts w:ascii="宋体" w:hAnsi="宋体"/>
                <w:bCs/>
                <w:sz w:val="26"/>
                <w:szCs w:val="26"/>
                <w:highlight w:val="none"/>
              </w:rPr>
            </w:pPr>
            <w:r>
              <w:rPr>
                <w:rFonts w:ascii="宋体" w:hAnsi="宋体"/>
                <w:bCs/>
                <w:sz w:val="26"/>
                <w:szCs w:val="26"/>
                <w:highlight w:val="none"/>
              </w:rPr>
              <w:t>9、镜头焦距 2.8mm</w:t>
            </w:r>
          </w:p>
          <w:p w14:paraId="7747A5C0">
            <w:pPr>
              <w:pStyle w:val="27"/>
              <w:jc w:val="both"/>
              <w:rPr>
                <w:rFonts w:ascii="宋体" w:hAnsi="宋体"/>
                <w:bCs/>
                <w:sz w:val="26"/>
                <w:szCs w:val="26"/>
                <w:highlight w:val="none"/>
              </w:rPr>
            </w:pPr>
            <w:r>
              <w:rPr>
                <w:rFonts w:ascii="宋体" w:hAnsi="宋体"/>
                <w:bCs/>
                <w:sz w:val="26"/>
                <w:szCs w:val="26"/>
                <w:highlight w:val="none"/>
              </w:rPr>
              <w:t>10、EMC指标：符合电梯行业标准</w:t>
            </w:r>
          </w:p>
        </w:tc>
      </w:tr>
      <w:tr w14:paraId="151A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63" w:type="dxa"/>
            <w:vAlign w:val="center"/>
          </w:tcPr>
          <w:p w14:paraId="76B98C00">
            <w:pPr>
              <w:pStyle w:val="27"/>
              <w:jc w:val="both"/>
              <w:rPr>
                <w:rFonts w:ascii="宋体" w:hAnsi="宋体"/>
                <w:bCs/>
                <w:sz w:val="26"/>
                <w:szCs w:val="26"/>
                <w:highlight w:val="none"/>
              </w:rPr>
            </w:pPr>
            <w:r>
              <w:rPr>
                <w:rFonts w:ascii="宋体" w:hAnsi="宋体"/>
                <w:bCs/>
                <w:sz w:val="26"/>
                <w:szCs w:val="26"/>
                <w:highlight w:val="none"/>
              </w:rPr>
              <w:t>11</w:t>
            </w:r>
          </w:p>
        </w:tc>
        <w:tc>
          <w:tcPr>
            <w:tcW w:w="1473" w:type="dxa"/>
            <w:vMerge w:val="continue"/>
            <w:vAlign w:val="center"/>
          </w:tcPr>
          <w:p w14:paraId="3C4B9BBF">
            <w:pPr>
              <w:pStyle w:val="27"/>
              <w:jc w:val="both"/>
              <w:rPr>
                <w:rFonts w:ascii="宋体" w:hAnsi="宋体"/>
                <w:bCs/>
                <w:sz w:val="26"/>
                <w:szCs w:val="26"/>
                <w:highlight w:val="none"/>
              </w:rPr>
            </w:pPr>
          </w:p>
        </w:tc>
        <w:tc>
          <w:tcPr>
            <w:tcW w:w="7765" w:type="dxa"/>
            <w:vAlign w:val="center"/>
          </w:tcPr>
          <w:p w14:paraId="3BCD4A31">
            <w:pPr>
              <w:pStyle w:val="27"/>
              <w:jc w:val="both"/>
              <w:rPr>
                <w:rFonts w:ascii="宋体" w:hAnsi="宋体"/>
                <w:bCs/>
                <w:sz w:val="26"/>
                <w:szCs w:val="26"/>
                <w:highlight w:val="none"/>
              </w:rPr>
            </w:pPr>
            <w:r>
              <w:rPr>
                <w:rFonts w:ascii="宋体" w:hAnsi="宋体"/>
                <w:bCs/>
                <w:sz w:val="26"/>
                <w:szCs w:val="26"/>
                <w:highlight w:val="none"/>
              </w:rPr>
              <w:t>▲采集范围要求：视场角/镜头的垂直方向可视角＞90°。投标时需提供第三方检测机构出具的有效的检测报告原件彩色扫描件或复印件加盖投标人公章的彩色扫描件；</w:t>
            </w:r>
          </w:p>
        </w:tc>
      </w:tr>
      <w:tr w14:paraId="60BB8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63" w:type="dxa"/>
            <w:vAlign w:val="center"/>
          </w:tcPr>
          <w:p w14:paraId="6BDB738B">
            <w:pPr>
              <w:pStyle w:val="27"/>
              <w:jc w:val="both"/>
              <w:rPr>
                <w:rFonts w:ascii="宋体" w:hAnsi="宋体"/>
                <w:bCs/>
                <w:sz w:val="26"/>
                <w:szCs w:val="26"/>
                <w:highlight w:val="none"/>
              </w:rPr>
            </w:pPr>
            <w:r>
              <w:rPr>
                <w:rFonts w:ascii="宋体" w:hAnsi="宋体"/>
                <w:bCs/>
                <w:sz w:val="26"/>
                <w:szCs w:val="26"/>
                <w:highlight w:val="none"/>
              </w:rPr>
              <w:t>12</w:t>
            </w:r>
          </w:p>
        </w:tc>
        <w:tc>
          <w:tcPr>
            <w:tcW w:w="1473" w:type="dxa"/>
            <w:vMerge w:val="continue"/>
            <w:vAlign w:val="center"/>
          </w:tcPr>
          <w:p w14:paraId="0CFB5293">
            <w:pPr>
              <w:pStyle w:val="27"/>
              <w:jc w:val="both"/>
              <w:rPr>
                <w:rFonts w:ascii="宋体" w:hAnsi="宋体"/>
                <w:bCs/>
                <w:sz w:val="26"/>
                <w:szCs w:val="26"/>
                <w:highlight w:val="none"/>
              </w:rPr>
            </w:pPr>
          </w:p>
        </w:tc>
        <w:tc>
          <w:tcPr>
            <w:tcW w:w="7765" w:type="dxa"/>
            <w:vAlign w:val="center"/>
          </w:tcPr>
          <w:p w14:paraId="0659EE0B">
            <w:pPr>
              <w:pStyle w:val="27"/>
              <w:jc w:val="both"/>
              <w:rPr>
                <w:rFonts w:ascii="宋体" w:hAnsi="宋体"/>
                <w:bCs/>
                <w:sz w:val="26"/>
                <w:szCs w:val="26"/>
                <w:highlight w:val="none"/>
              </w:rPr>
            </w:pPr>
            <w:r>
              <w:rPr>
                <w:rFonts w:ascii="宋体" w:hAnsi="宋体"/>
                <w:bCs/>
                <w:sz w:val="26"/>
                <w:szCs w:val="26"/>
                <w:highlight w:val="none"/>
              </w:rPr>
              <w:t>▲对于电梯轿厢内相关图像信息的现场采集应覆盖开关门、轿内登记指令、楼层显示信息及不少于 80% 地板面积区域。投标时需提供第三方检测机构出具的有效的检测报告原件彩色扫描件或复印件加盖投标人公章的彩色扫描件；</w:t>
            </w:r>
          </w:p>
        </w:tc>
      </w:tr>
      <w:tr w14:paraId="16C91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63" w:type="dxa"/>
            <w:vAlign w:val="center"/>
          </w:tcPr>
          <w:p w14:paraId="7605AAD3">
            <w:pPr>
              <w:pStyle w:val="27"/>
              <w:jc w:val="both"/>
              <w:rPr>
                <w:rFonts w:ascii="宋体" w:hAnsi="宋体"/>
                <w:bCs/>
                <w:sz w:val="26"/>
                <w:szCs w:val="26"/>
                <w:highlight w:val="none"/>
              </w:rPr>
            </w:pPr>
            <w:r>
              <w:rPr>
                <w:rFonts w:ascii="宋体" w:hAnsi="宋体"/>
                <w:bCs/>
                <w:sz w:val="26"/>
                <w:szCs w:val="26"/>
                <w:highlight w:val="none"/>
              </w:rPr>
              <w:t>13</w:t>
            </w:r>
          </w:p>
        </w:tc>
        <w:tc>
          <w:tcPr>
            <w:tcW w:w="1473" w:type="dxa"/>
            <w:vMerge w:val="continue"/>
            <w:vAlign w:val="center"/>
          </w:tcPr>
          <w:p w14:paraId="49984C81">
            <w:pPr>
              <w:pStyle w:val="27"/>
              <w:jc w:val="both"/>
              <w:rPr>
                <w:rFonts w:ascii="宋体" w:hAnsi="宋体"/>
                <w:bCs/>
                <w:sz w:val="26"/>
                <w:szCs w:val="26"/>
                <w:highlight w:val="none"/>
              </w:rPr>
            </w:pPr>
          </w:p>
        </w:tc>
        <w:tc>
          <w:tcPr>
            <w:tcW w:w="7765" w:type="dxa"/>
            <w:vAlign w:val="center"/>
          </w:tcPr>
          <w:p w14:paraId="5208A7EC">
            <w:pPr>
              <w:pStyle w:val="27"/>
              <w:jc w:val="both"/>
              <w:rPr>
                <w:rFonts w:ascii="宋体" w:hAnsi="宋体"/>
                <w:bCs/>
                <w:sz w:val="26"/>
                <w:szCs w:val="26"/>
                <w:highlight w:val="none"/>
              </w:rPr>
            </w:pPr>
            <w:r>
              <w:rPr>
                <w:rFonts w:ascii="宋体" w:hAnsi="宋体"/>
                <w:bCs/>
                <w:sz w:val="26"/>
                <w:szCs w:val="26"/>
                <w:highlight w:val="none"/>
              </w:rPr>
              <w:t>▲存储的图像应具有不小于 CIF 格式 352×288 的图像分辨率，动态图像存储帧率不低于 15 帧/s。投标时需提供第三方检测机构出具的有效的检测报告原件彩色扫描件或复印件加盖投标人公章的彩色扫描件；</w:t>
            </w:r>
          </w:p>
        </w:tc>
      </w:tr>
      <w:tr w14:paraId="0DF56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63" w:type="dxa"/>
            <w:vAlign w:val="center"/>
          </w:tcPr>
          <w:p w14:paraId="15C3B241">
            <w:pPr>
              <w:pStyle w:val="27"/>
              <w:jc w:val="both"/>
              <w:rPr>
                <w:rFonts w:ascii="宋体" w:hAnsi="宋体"/>
                <w:bCs/>
                <w:sz w:val="26"/>
                <w:szCs w:val="26"/>
                <w:highlight w:val="none"/>
              </w:rPr>
            </w:pPr>
            <w:r>
              <w:rPr>
                <w:rFonts w:ascii="宋体" w:hAnsi="宋体"/>
                <w:bCs/>
                <w:sz w:val="26"/>
                <w:szCs w:val="26"/>
                <w:highlight w:val="none"/>
              </w:rPr>
              <w:t>14</w:t>
            </w:r>
          </w:p>
        </w:tc>
        <w:tc>
          <w:tcPr>
            <w:tcW w:w="1473" w:type="dxa"/>
            <w:vMerge w:val="continue"/>
            <w:vAlign w:val="center"/>
          </w:tcPr>
          <w:p w14:paraId="52007D8E">
            <w:pPr>
              <w:pStyle w:val="27"/>
              <w:jc w:val="both"/>
              <w:rPr>
                <w:rFonts w:ascii="宋体" w:hAnsi="宋体"/>
                <w:bCs/>
                <w:sz w:val="26"/>
                <w:szCs w:val="26"/>
                <w:highlight w:val="none"/>
              </w:rPr>
            </w:pPr>
          </w:p>
        </w:tc>
        <w:tc>
          <w:tcPr>
            <w:tcW w:w="7765" w:type="dxa"/>
            <w:vAlign w:val="center"/>
          </w:tcPr>
          <w:p w14:paraId="13EA110C">
            <w:pPr>
              <w:pStyle w:val="27"/>
              <w:jc w:val="both"/>
              <w:rPr>
                <w:rFonts w:ascii="宋体" w:hAnsi="宋体"/>
                <w:bCs/>
                <w:sz w:val="26"/>
                <w:szCs w:val="26"/>
                <w:highlight w:val="none"/>
              </w:rPr>
            </w:pPr>
            <w:r>
              <w:rPr>
                <w:rFonts w:ascii="宋体" w:hAnsi="宋体"/>
                <w:bCs/>
                <w:sz w:val="26"/>
                <w:szCs w:val="26"/>
                <w:highlight w:val="none"/>
              </w:rPr>
              <w:t>电梯远程物联在线监测终端设备应支持 RS-232/RS-485/TTL数据传输协议，支持 1200~115200bps 的传输速率，并支持1个或多个几余通讯接口。</w:t>
            </w:r>
          </w:p>
        </w:tc>
      </w:tr>
      <w:tr w14:paraId="7B2ED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63" w:type="dxa"/>
            <w:vAlign w:val="center"/>
          </w:tcPr>
          <w:p w14:paraId="20F38FEE">
            <w:pPr>
              <w:pStyle w:val="27"/>
              <w:jc w:val="both"/>
              <w:rPr>
                <w:rFonts w:ascii="宋体" w:hAnsi="宋体"/>
                <w:bCs/>
                <w:sz w:val="26"/>
                <w:szCs w:val="26"/>
                <w:highlight w:val="none"/>
              </w:rPr>
            </w:pPr>
            <w:r>
              <w:rPr>
                <w:rFonts w:ascii="宋体" w:hAnsi="宋体"/>
                <w:bCs/>
                <w:sz w:val="26"/>
                <w:szCs w:val="26"/>
                <w:highlight w:val="none"/>
              </w:rPr>
              <w:t>15</w:t>
            </w:r>
          </w:p>
        </w:tc>
        <w:tc>
          <w:tcPr>
            <w:tcW w:w="1473" w:type="dxa"/>
            <w:vMerge w:val="continue"/>
            <w:vAlign w:val="center"/>
          </w:tcPr>
          <w:p w14:paraId="20D5A612">
            <w:pPr>
              <w:pStyle w:val="27"/>
              <w:jc w:val="both"/>
              <w:rPr>
                <w:rFonts w:ascii="宋体" w:hAnsi="宋体"/>
                <w:bCs/>
                <w:sz w:val="26"/>
                <w:szCs w:val="26"/>
                <w:highlight w:val="none"/>
              </w:rPr>
            </w:pPr>
          </w:p>
        </w:tc>
        <w:tc>
          <w:tcPr>
            <w:tcW w:w="7765" w:type="dxa"/>
            <w:vAlign w:val="center"/>
          </w:tcPr>
          <w:p w14:paraId="4D9F5466">
            <w:pPr>
              <w:pStyle w:val="27"/>
              <w:jc w:val="both"/>
              <w:rPr>
                <w:rFonts w:ascii="宋体" w:hAnsi="宋体"/>
                <w:bCs/>
                <w:sz w:val="26"/>
                <w:szCs w:val="26"/>
                <w:highlight w:val="none"/>
              </w:rPr>
            </w:pPr>
            <w:r>
              <w:rPr>
                <w:rFonts w:ascii="宋体" w:hAnsi="宋体"/>
                <w:bCs/>
                <w:sz w:val="26"/>
                <w:szCs w:val="26"/>
                <w:highlight w:val="none"/>
              </w:rPr>
              <w:t>电梯运行安全监管系统与终端之间的数据传输应支持 TCP/IP 协议簇，在不影响与监管系统和终瑞交互过程的前提下，可使用 TCP或UDP传输数据。</w:t>
            </w:r>
          </w:p>
        </w:tc>
      </w:tr>
      <w:tr w14:paraId="4109B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63" w:type="dxa"/>
            <w:vAlign w:val="center"/>
          </w:tcPr>
          <w:p w14:paraId="1367804B">
            <w:pPr>
              <w:pStyle w:val="27"/>
              <w:jc w:val="both"/>
              <w:rPr>
                <w:rFonts w:ascii="宋体" w:hAnsi="宋体"/>
                <w:bCs/>
                <w:sz w:val="26"/>
                <w:szCs w:val="26"/>
                <w:highlight w:val="none"/>
              </w:rPr>
            </w:pPr>
            <w:r>
              <w:rPr>
                <w:rFonts w:ascii="宋体" w:hAnsi="宋体"/>
                <w:bCs/>
                <w:sz w:val="26"/>
                <w:szCs w:val="26"/>
                <w:highlight w:val="none"/>
              </w:rPr>
              <w:t>16</w:t>
            </w:r>
          </w:p>
        </w:tc>
        <w:tc>
          <w:tcPr>
            <w:tcW w:w="1473" w:type="dxa"/>
            <w:vMerge w:val="continue"/>
            <w:vAlign w:val="center"/>
          </w:tcPr>
          <w:p w14:paraId="4C52AED7">
            <w:pPr>
              <w:pStyle w:val="27"/>
              <w:jc w:val="both"/>
              <w:rPr>
                <w:rFonts w:ascii="宋体" w:hAnsi="宋体"/>
                <w:bCs/>
                <w:sz w:val="26"/>
                <w:szCs w:val="26"/>
                <w:highlight w:val="none"/>
              </w:rPr>
            </w:pPr>
          </w:p>
        </w:tc>
        <w:tc>
          <w:tcPr>
            <w:tcW w:w="7765" w:type="dxa"/>
            <w:vAlign w:val="center"/>
          </w:tcPr>
          <w:p w14:paraId="49B04E74">
            <w:pPr>
              <w:pStyle w:val="27"/>
              <w:jc w:val="both"/>
              <w:rPr>
                <w:rFonts w:ascii="宋体" w:hAnsi="宋体"/>
                <w:bCs/>
                <w:sz w:val="26"/>
                <w:szCs w:val="26"/>
                <w:highlight w:val="none"/>
              </w:rPr>
            </w:pPr>
            <w:r>
              <w:rPr>
                <w:rFonts w:ascii="宋体" w:hAnsi="宋体"/>
                <w:bCs/>
                <w:sz w:val="26"/>
                <w:szCs w:val="26"/>
                <w:highlight w:val="none"/>
              </w:rPr>
              <w:t>网络传输接口应支持无线通信、有线通信或通过 Intermet 代理的专网通信，其中无线通信包括 wifi/2.5G/3G/4G:有线通信包括ADSL/FTTx/Cable。</w:t>
            </w:r>
          </w:p>
        </w:tc>
      </w:tr>
      <w:tr w14:paraId="0AA68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63" w:type="dxa"/>
            <w:vAlign w:val="center"/>
          </w:tcPr>
          <w:p w14:paraId="40168F92">
            <w:pPr>
              <w:pStyle w:val="27"/>
              <w:jc w:val="both"/>
              <w:rPr>
                <w:rFonts w:ascii="宋体" w:hAnsi="宋体"/>
                <w:bCs/>
                <w:sz w:val="26"/>
                <w:szCs w:val="26"/>
                <w:highlight w:val="none"/>
              </w:rPr>
            </w:pPr>
            <w:r>
              <w:rPr>
                <w:rFonts w:ascii="宋体" w:hAnsi="宋体"/>
                <w:bCs/>
                <w:sz w:val="26"/>
                <w:szCs w:val="26"/>
                <w:highlight w:val="none"/>
              </w:rPr>
              <w:t>17-19</w:t>
            </w:r>
          </w:p>
        </w:tc>
        <w:tc>
          <w:tcPr>
            <w:tcW w:w="1473" w:type="dxa"/>
            <w:vAlign w:val="center"/>
          </w:tcPr>
          <w:p w14:paraId="24C569DB">
            <w:pPr>
              <w:pStyle w:val="27"/>
              <w:jc w:val="both"/>
              <w:rPr>
                <w:rFonts w:ascii="宋体" w:hAnsi="宋体"/>
                <w:bCs/>
                <w:sz w:val="26"/>
                <w:szCs w:val="26"/>
                <w:highlight w:val="none"/>
              </w:rPr>
            </w:pPr>
            <w:r>
              <w:rPr>
                <w:rFonts w:ascii="宋体" w:hAnsi="宋体"/>
                <w:bCs/>
                <w:sz w:val="26"/>
                <w:szCs w:val="26"/>
                <w:highlight w:val="none"/>
              </w:rPr>
              <w:t>4G路由器</w:t>
            </w:r>
          </w:p>
        </w:tc>
        <w:tc>
          <w:tcPr>
            <w:tcW w:w="7765" w:type="dxa"/>
            <w:vAlign w:val="center"/>
          </w:tcPr>
          <w:p w14:paraId="2E3A73A3">
            <w:pPr>
              <w:pStyle w:val="27"/>
              <w:jc w:val="both"/>
              <w:rPr>
                <w:rFonts w:ascii="宋体" w:hAnsi="宋体"/>
                <w:bCs/>
                <w:sz w:val="26"/>
                <w:szCs w:val="26"/>
                <w:highlight w:val="none"/>
              </w:rPr>
            </w:pPr>
            <w:r>
              <w:rPr>
                <w:rFonts w:ascii="宋体" w:hAnsi="宋体"/>
                <w:bCs/>
                <w:sz w:val="26"/>
                <w:szCs w:val="26"/>
                <w:highlight w:val="none"/>
              </w:rPr>
              <w:t xml:space="preserve">17、300M全网通4G路由器 </w:t>
            </w:r>
          </w:p>
          <w:p w14:paraId="139AFE0E">
            <w:pPr>
              <w:pStyle w:val="27"/>
              <w:jc w:val="both"/>
              <w:rPr>
                <w:rFonts w:ascii="宋体" w:hAnsi="宋体"/>
                <w:bCs/>
                <w:sz w:val="26"/>
                <w:szCs w:val="26"/>
                <w:highlight w:val="none"/>
              </w:rPr>
            </w:pPr>
            <w:r>
              <w:rPr>
                <w:rFonts w:ascii="宋体" w:hAnsi="宋体"/>
                <w:bCs/>
                <w:sz w:val="26"/>
                <w:szCs w:val="26"/>
                <w:highlight w:val="none"/>
              </w:rPr>
              <w:t xml:space="preserve">18、无线传输速率300Mbps </w:t>
            </w:r>
          </w:p>
          <w:p w14:paraId="390B95F7">
            <w:pPr>
              <w:pStyle w:val="27"/>
              <w:jc w:val="both"/>
              <w:rPr>
                <w:rFonts w:ascii="宋体" w:hAnsi="宋体"/>
                <w:bCs/>
                <w:sz w:val="26"/>
                <w:szCs w:val="26"/>
                <w:highlight w:val="none"/>
              </w:rPr>
            </w:pPr>
            <w:r>
              <w:rPr>
                <w:rFonts w:ascii="宋体" w:hAnsi="宋体"/>
                <w:bCs/>
                <w:sz w:val="26"/>
                <w:szCs w:val="26"/>
                <w:highlight w:val="none"/>
              </w:rPr>
              <w:t>19、无线传输标准802.11b 802.11g 802.11n</w:t>
            </w:r>
          </w:p>
        </w:tc>
      </w:tr>
      <w:tr w14:paraId="1E17F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63" w:type="dxa"/>
            <w:vAlign w:val="center"/>
          </w:tcPr>
          <w:p w14:paraId="2FD72A27">
            <w:pPr>
              <w:pStyle w:val="27"/>
              <w:jc w:val="both"/>
              <w:rPr>
                <w:rFonts w:ascii="宋体" w:hAnsi="宋体"/>
                <w:bCs/>
                <w:sz w:val="26"/>
                <w:szCs w:val="26"/>
                <w:highlight w:val="none"/>
              </w:rPr>
            </w:pPr>
            <w:r>
              <w:rPr>
                <w:rFonts w:ascii="宋体" w:hAnsi="宋体"/>
                <w:bCs/>
                <w:sz w:val="26"/>
                <w:szCs w:val="26"/>
                <w:highlight w:val="none"/>
              </w:rPr>
              <w:t>20</w:t>
            </w:r>
          </w:p>
        </w:tc>
        <w:tc>
          <w:tcPr>
            <w:tcW w:w="1473" w:type="dxa"/>
            <w:vAlign w:val="center"/>
          </w:tcPr>
          <w:p w14:paraId="1EB03444">
            <w:pPr>
              <w:pStyle w:val="27"/>
              <w:jc w:val="both"/>
              <w:rPr>
                <w:rFonts w:ascii="宋体" w:hAnsi="宋体"/>
                <w:bCs/>
                <w:sz w:val="26"/>
                <w:szCs w:val="26"/>
                <w:highlight w:val="none"/>
              </w:rPr>
            </w:pPr>
            <w:r>
              <w:rPr>
                <w:rFonts w:ascii="宋体" w:hAnsi="宋体"/>
                <w:bCs/>
                <w:sz w:val="26"/>
                <w:szCs w:val="26"/>
                <w:highlight w:val="none"/>
              </w:rPr>
              <w:t>4G流量卡</w:t>
            </w:r>
          </w:p>
        </w:tc>
        <w:tc>
          <w:tcPr>
            <w:tcW w:w="7765" w:type="dxa"/>
            <w:vAlign w:val="center"/>
          </w:tcPr>
          <w:p w14:paraId="364F65DA">
            <w:pPr>
              <w:pStyle w:val="27"/>
              <w:jc w:val="both"/>
              <w:rPr>
                <w:rFonts w:ascii="宋体" w:hAnsi="宋体"/>
                <w:bCs/>
                <w:sz w:val="26"/>
                <w:szCs w:val="26"/>
                <w:highlight w:val="none"/>
              </w:rPr>
            </w:pPr>
            <w:r>
              <w:rPr>
                <w:rFonts w:ascii="宋体" w:hAnsi="宋体"/>
                <w:bCs/>
                <w:sz w:val="26"/>
                <w:szCs w:val="26"/>
                <w:highlight w:val="none"/>
              </w:rPr>
              <w:t>移动、电信、联通每月5G流量</w:t>
            </w:r>
          </w:p>
        </w:tc>
      </w:tr>
    </w:tbl>
    <w:p w14:paraId="58603658">
      <w:pPr>
        <w:pStyle w:val="27"/>
        <w:jc w:val="both"/>
        <w:rPr>
          <w:rFonts w:ascii="宋体" w:hAnsi="宋体"/>
          <w:bCs/>
          <w:sz w:val="26"/>
          <w:szCs w:val="26"/>
          <w:highlight w:val="none"/>
        </w:rPr>
      </w:pPr>
    </w:p>
    <w:p w14:paraId="6EEAB0CF">
      <w:pPr>
        <w:pStyle w:val="27"/>
        <w:jc w:val="both"/>
        <w:rPr>
          <w:rFonts w:ascii="宋体" w:hAnsi="宋体"/>
          <w:bCs/>
          <w:sz w:val="26"/>
          <w:szCs w:val="26"/>
          <w:highlight w:val="none"/>
        </w:rPr>
      </w:pPr>
      <w:r>
        <w:rPr>
          <w:rFonts w:ascii="宋体" w:hAnsi="宋体"/>
          <w:bCs/>
          <w:sz w:val="26"/>
          <w:szCs w:val="26"/>
          <w:highlight w:val="none"/>
        </w:rPr>
        <w:br w:type="page"/>
      </w:r>
    </w:p>
    <w:p w14:paraId="5A4A85CB">
      <w:pPr>
        <w:pStyle w:val="27"/>
        <w:jc w:val="both"/>
        <w:rPr>
          <w:rFonts w:ascii="宋体" w:hAnsi="宋体"/>
          <w:bCs/>
          <w:sz w:val="26"/>
          <w:szCs w:val="26"/>
          <w:highlight w:val="none"/>
        </w:rPr>
      </w:pPr>
      <w:r>
        <w:rPr>
          <w:rFonts w:ascii="宋体" w:hAnsi="宋体"/>
          <w:bCs/>
          <w:sz w:val="26"/>
          <w:szCs w:val="26"/>
          <w:highlight w:val="none"/>
        </w:rPr>
        <w:t>2、数据采集技术要求</w:t>
      </w:r>
    </w:p>
    <w:tbl>
      <w:tblPr>
        <w:tblStyle w:val="20"/>
        <w:tblW w:w="10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1664"/>
        <w:gridCol w:w="7696"/>
      </w:tblGrid>
      <w:tr w14:paraId="40B52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66" w:type="dxa"/>
            <w:vAlign w:val="center"/>
          </w:tcPr>
          <w:p w14:paraId="65E8A184">
            <w:pPr>
              <w:pStyle w:val="27"/>
              <w:jc w:val="both"/>
              <w:rPr>
                <w:rFonts w:ascii="宋体" w:hAnsi="宋体"/>
                <w:bCs/>
                <w:sz w:val="26"/>
                <w:szCs w:val="26"/>
                <w:highlight w:val="none"/>
              </w:rPr>
            </w:pPr>
            <w:r>
              <w:rPr>
                <w:rFonts w:ascii="宋体" w:hAnsi="宋体"/>
                <w:bCs/>
                <w:sz w:val="26"/>
                <w:szCs w:val="26"/>
                <w:highlight w:val="none"/>
              </w:rPr>
              <w:t>序号</w:t>
            </w:r>
          </w:p>
        </w:tc>
        <w:tc>
          <w:tcPr>
            <w:tcW w:w="1664" w:type="dxa"/>
            <w:vAlign w:val="center"/>
          </w:tcPr>
          <w:p w14:paraId="7E22A93F">
            <w:pPr>
              <w:pStyle w:val="27"/>
              <w:jc w:val="both"/>
              <w:rPr>
                <w:rFonts w:ascii="宋体" w:hAnsi="宋体"/>
                <w:bCs/>
                <w:sz w:val="26"/>
                <w:szCs w:val="26"/>
                <w:highlight w:val="none"/>
              </w:rPr>
            </w:pPr>
            <w:r>
              <w:rPr>
                <w:rFonts w:ascii="宋体" w:hAnsi="宋体"/>
                <w:bCs/>
                <w:sz w:val="26"/>
                <w:szCs w:val="26"/>
                <w:highlight w:val="none"/>
              </w:rPr>
              <w:t>类别</w:t>
            </w:r>
          </w:p>
        </w:tc>
        <w:tc>
          <w:tcPr>
            <w:tcW w:w="7696" w:type="dxa"/>
            <w:vAlign w:val="center"/>
          </w:tcPr>
          <w:p w14:paraId="1DC9316B">
            <w:pPr>
              <w:pStyle w:val="27"/>
              <w:jc w:val="both"/>
              <w:rPr>
                <w:rFonts w:ascii="宋体" w:hAnsi="宋体"/>
                <w:bCs/>
                <w:sz w:val="26"/>
                <w:szCs w:val="26"/>
                <w:highlight w:val="none"/>
              </w:rPr>
            </w:pPr>
            <w:r>
              <w:rPr>
                <w:rFonts w:ascii="宋体" w:hAnsi="宋体"/>
                <w:bCs/>
                <w:sz w:val="26"/>
                <w:szCs w:val="26"/>
                <w:highlight w:val="none"/>
              </w:rPr>
              <w:t>技术要求</w:t>
            </w:r>
          </w:p>
        </w:tc>
      </w:tr>
      <w:tr w14:paraId="6F1B3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jc w:val="center"/>
        </w:trPr>
        <w:tc>
          <w:tcPr>
            <w:tcW w:w="1166" w:type="dxa"/>
            <w:vAlign w:val="center"/>
          </w:tcPr>
          <w:p w14:paraId="752AD71D">
            <w:pPr>
              <w:pStyle w:val="27"/>
              <w:jc w:val="both"/>
              <w:rPr>
                <w:rFonts w:ascii="宋体" w:hAnsi="宋体"/>
                <w:bCs/>
                <w:sz w:val="26"/>
                <w:szCs w:val="26"/>
                <w:highlight w:val="none"/>
              </w:rPr>
            </w:pPr>
            <w:r>
              <w:rPr>
                <w:rFonts w:ascii="宋体" w:hAnsi="宋体"/>
                <w:bCs/>
                <w:sz w:val="26"/>
                <w:szCs w:val="26"/>
                <w:highlight w:val="none"/>
              </w:rPr>
              <w:t>21-33</w:t>
            </w:r>
          </w:p>
        </w:tc>
        <w:tc>
          <w:tcPr>
            <w:tcW w:w="1664" w:type="dxa"/>
            <w:vAlign w:val="center"/>
          </w:tcPr>
          <w:p w14:paraId="613A521E">
            <w:pPr>
              <w:pStyle w:val="27"/>
              <w:jc w:val="both"/>
              <w:rPr>
                <w:rFonts w:ascii="宋体" w:hAnsi="宋体"/>
                <w:bCs/>
                <w:sz w:val="26"/>
                <w:szCs w:val="26"/>
                <w:highlight w:val="none"/>
              </w:rPr>
            </w:pPr>
            <w:r>
              <w:rPr>
                <w:rFonts w:ascii="宋体" w:hAnsi="宋体"/>
                <w:bCs/>
                <w:sz w:val="26"/>
                <w:szCs w:val="26"/>
                <w:highlight w:val="none"/>
              </w:rPr>
              <w:t>电梯状态数据采集</w:t>
            </w:r>
          </w:p>
        </w:tc>
        <w:tc>
          <w:tcPr>
            <w:tcW w:w="7696" w:type="dxa"/>
            <w:vAlign w:val="center"/>
          </w:tcPr>
          <w:p w14:paraId="2E613152">
            <w:pPr>
              <w:pStyle w:val="27"/>
              <w:jc w:val="both"/>
              <w:rPr>
                <w:rFonts w:ascii="宋体" w:hAnsi="宋体"/>
                <w:bCs/>
                <w:sz w:val="26"/>
                <w:szCs w:val="26"/>
                <w:highlight w:val="none"/>
              </w:rPr>
            </w:pPr>
            <w:r>
              <w:rPr>
                <w:rFonts w:ascii="宋体" w:hAnsi="宋体"/>
                <w:bCs/>
                <w:sz w:val="26"/>
                <w:szCs w:val="26"/>
                <w:highlight w:val="none"/>
              </w:rPr>
              <w:t>系统实时采集电梯数据，采集电梯状态数据要求如下：</w:t>
            </w:r>
          </w:p>
          <w:p w14:paraId="0781DCDE">
            <w:pPr>
              <w:pStyle w:val="27"/>
              <w:jc w:val="both"/>
              <w:rPr>
                <w:rFonts w:ascii="宋体" w:hAnsi="宋体"/>
                <w:bCs/>
                <w:sz w:val="26"/>
                <w:szCs w:val="26"/>
                <w:highlight w:val="none"/>
              </w:rPr>
            </w:pPr>
            <w:r>
              <w:rPr>
                <w:rFonts w:ascii="宋体" w:hAnsi="宋体"/>
                <w:bCs/>
                <w:sz w:val="26"/>
                <w:szCs w:val="26"/>
                <w:highlight w:val="none"/>
              </w:rPr>
              <w:t>21、轿厢人体感应检测：采集电梯轿厢是否有人信息；</w:t>
            </w:r>
          </w:p>
          <w:p w14:paraId="7D6F2A6B">
            <w:pPr>
              <w:pStyle w:val="27"/>
              <w:jc w:val="both"/>
              <w:rPr>
                <w:rFonts w:ascii="宋体" w:hAnsi="宋体"/>
                <w:bCs/>
                <w:sz w:val="26"/>
                <w:szCs w:val="26"/>
                <w:highlight w:val="none"/>
              </w:rPr>
            </w:pPr>
            <w:r>
              <w:rPr>
                <w:rFonts w:ascii="宋体" w:hAnsi="宋体"/>
                <w:bCs/>
                <w:sz w:val="26"/>
                <w:szCs w:val="26"/>
                <w:highlight w:val="none"/>
              </w:rPr>
              <w:t>22、轿厢楼层检测；</w:t>
            </w:r>
          </w:p>
          <w:p w14:paraId="03848BBA">
            <w:pPr>
              <w:pStyle w:val="27"/>
              <w:jc w:val="both"/>
              <w:rPr>
                <w:rFonts w:ascii="宋体" w:hAnsi="宋体"/>
                <w:bCs/>
                <w:sz w:val="26"/>
                <w:szCs w:val="26"/>
                <w:highlight w:val="none"/>
              </w:rPr>
            </w:pPr>
            <w:r>
              <w:rPr>
                <w:rFonts w:ascii="宋体" w:hAnsi="宋体"/>
                <w:bCs/>
                <w:sz w:val="26"/>
                <w:szCs w:val="26"/>
                <w:highlight w:val="none"/>
              </w:rPr>
              <w:t>23、电梯运行速度采集；</w:t>
            </w:r>
          </w:p>
          <w:p w14:paraId="2177E66E">
            <w:pPr>
              <w:pStyle w:val="27"/>
              <w:jc w:val="both"/>
              <w:rPr>
                <w:rFonts w:ascii="宋体" w:hAnsi="宋体"/>
                <w:bCs/>
                <w:sz w:val="26"/>
                <w:szCs w:val="26"/>
                <w:highlight w:val="none"/>
              </w:rPr>
            </w:pPr>
            <w:r>
              <w:rPr>
                <w:rFonts w:ascii="宋体" w:hAnsi="宋体"/>
                <w:bCs/>
                <w:sz w:val="26"/>
                <w:szCs w:val="26"/>
                <w:highlight w:val="none"/>
              </w:rPr>
              <w:t>24、电梯运行方向采集；</w:t>
            </w:r>
          </w:p>
          <w:p w14:paraId="2F0B8E38">
            <w:pPr>
              <w:pStyle w:val="27"/>
              <w:jc w:val="both"/>
              <w:rPr>
                <w:rFonts w:ascii="宋体" w:hAnsi="宋体"/>
                <w:bCs/>
                <w:sz w:val="26"/>
                <w:szCs w:val="26"/>
                <w:highlight w:val="none"/>
              </w:rPr>
            </w:pPr>
            <w:r>
              <w:rPr>
                <w:rFonts w:ascii="宋体" w:hAnsi="宋体"/>
                <w:bCs/>
                <w:sz w:val="26"/>
                <w:szCs w:val="26"/>
                <w:highlight w:val="none"/>
              </w:rPr>
              <w:t>25、轿门开闭状态采集；</w:t>
            </w:r>
          </w:p>
          <w:p w14:paraId="15CA611F">
            <w:pPr>
              <w:pStyle w:val="27"/>
              <w:jc w:val="both"/>
              <w:rPr>
                <w:rFonts w:ascii="宋体" w:hAnsi="宋体"/>
                <w:bCs/>
                <w:sz w:val="26"/>
                <w:szCs w:val="26"/>
                <w:highlight w:val="none"/>
              </w:rPr>
            </w:pPr>
            <w:r>
              <w:rPr>
                <w:rFonts w:ascii="宋体" w:hAnsi="宋体"/>
                <w:bCs/>
                <w:sz w:val="26"/>
                <w:szCs w:val="26"/>
                <w:highlight w:val="none"/>
              </w:rPr>
              <w:t>26、轿厢温度；</w:t>
            </w:r>
          </w:p>
          <w:p w14:paraId="41D6D752">
            <w:pPr>
              <w:pStyle w:val="27"/>
              <w:jc w:val="both"/>
              <w:rPr>
                <w:rFonts w:ascii="宋体" w:hAnsi="宋体"/>
                <w:bCs/>
                <w:sz w:val="26"/>
                <w:szCs w:val="26"/>
                <w:highlight w:val="none"/>
              </w:rPr>
            </w:pPr>
            <w:r>
              <w:rPr>
                <w:rFonts w:ascii="宋体" w:hAnsi="宋体"/>
                <w:bCs/>
                <w:sz w:val="26"/>
                <w:szCs w:val="26"/>
                <w:highlight w:val="none"/>
              </w:rPr>
              <w:t>27、电梯的运行距离；</w:t>
            </w:r>
          </w:p>
          <w:p w14:paraId="69C9342D">
            <w:pPr>
              <w:pStyle w:val="27"/>
              <w:jc w:val="both"/>
              <w:rPr>
                <w:rFonts w:ascii="宋体" w:hAnsi="宋体"/>
                <w:bCs/>
                <w:sz w:val="26"/>
                <w:szCs w:val="26"/>
                <w:highlight w:val="none"/>
              </w:rPr>
            </w:pPr>
            <w:r>
              <w:rPr>
                <w:rFonts w:ascii="宋体" w:hAnsi="宋体"/>
                <w:bCs/>
                <w:sz w:val="26"/>
                <w:szCs w:val="26"/>
                <w:highlight w:val="none"/>
              </w:rPr>
              <w:t>28、电梯的累计运行次数；</w:t>
            </w:r>
          </w:p>
          <w:p w14:paraId="5F403598">
            <w:pPr>
              <w:pStyle w:val="27"/>
              <w:jc w:val="both"/>
              <w:rPr>
                <w:rFonts w:ascii="宋体" w:hAnsi="宋体"/>
                <w:bCs/>
                <w:sz w:val="26"/>
                <w:szCs w:val="26"/>
                <w:highlight w:val="none"/>
              </w:rPr>
            </w:pPr>
            <w:r>
              <w:rPr>
                <w:rFonts w:ascii="宋体" w:hAnsi="宋体"/>
                <w:bCs/>
                <w:sz w:val="26"/>
                <w:szCs w:val="26"/>
                <w:highlight w:val="none"/>
              </w:rPr>
              <w:t>29、电梯的累计运行时长；</w:t>
            </w:r>
          </w:p>
          <w:p w14:paraId="7AAF944E">
            <w:pPr>
              <w:pStyle w:val="27"/>
              <w:jc w:val="both"/>
              <w:rPr>
                <w:rFonts w:ascii="宋体" w:hAnsi="宋体"/>
                <w:bCs/>
                <w:sz w:val="26"/>
                <w:szCs w:val="26"/>
                <w:highlight w:val="none"/>
              </w:rPr>
            </w:pPr>
            <w:r>
              <w:rPr>
                <w:rFonts w:ascii="宋体" w:hAnsi="宋体"/>
                <w:bCs/>
                <w:sz w:val="26"/>
                <w:szCs w:val="26"/>
                <w:highlight w:val="none"/>
              </w:rPr>
              <w:t>30、电梯的开关门次数；</w:t>
            </w:r>
          </w:p>
          <w:p w14:paraId="37A45D42">
            <w:pPr>
              <w:pStyle w:val="27"/>
              <w:jc w:val="both"/>
              <w:rPr>
                <w:rFonts w:ascii="宋体" w:hAnsi="宋体"/>
                <w:bCs/>
                <w:sz w:val="26"/>
                <w:szCs w:val="26"/>
                <w:highlight w:val="none"/>
              </w:rPr>
            </w:pPr>
            <w:r>
              <w:rPr>
                <w:rFonts w:ascii="宋体" w:hAnsi="宋体"/>
                <w:bCs/>
                <w:sz w:val="26"/>
                <w:szCs w:val="26"/>
                <w:highlight w:val="none"/>
              </w:rPr>
              <w:t>31、电梯是否在开锁区域；</w:t>
            </w:r>
          </w:p>
          <w:p w14:paraId="3E7CDEE5">
            <w:pPr>
              <w:pStyle w:val="27"/>
              <w:jc w:val="both"/>
              <w:rPr>
                <w:rFonts w:ascii="宋体" w:hAnsi="宋体"/>
                <w:bCs/>
                <w:sz w:val="26"/>
                <w:szCs w:val="26"/>
                <w:highlight w:val="none"/>
              </w:rPr>
            </w:pPr>
            <w:r>
              <w:rPr>
                <w:rFonts w:ascii="宋体" w:hAnsi="宋体"/>
                <w:bCs/>
                <w:sz w:val="26"/>
                <w:szCs w:val="26"/>
                <w:highlight w:val="none"/>
              </w:rPr>
              <w:t>32、电梯安全回路通断状态采集；</w:t>
            </w:r>
          </w:p>
          <w:p w14:paraId="047A8FA7">
            <w:pPr>
              <w:pStyle w:val="27"/>
              <w:jc w:val="both"/>
              <w:rPr>
                <w:rFonts w:ascii="宋体" w:hAnsi="宋体"/>
                <w:bCs/>
                <w:sz w:val="26"/>
                <w:szCs w:val="26"/>
                <w:highlight w:val="none"/>
              </w:rPr>
            </w:pPr>
            <w:r>
              <w:rPr>
                <w:rFonts w:ascii="宋体" w:hAnsi="宋体"/>
                <w:bCs/>
                <w:sz w:val="26"/>
                <w:szCs w:val="26"/>
                <w:highlight w:val="none"/>
              </w:rPr>
              <w:t>33、电梯门锁回路通断状态采集。</w:t>
            </w:r>
          </w:p>
        </w:tc>
      </w:tr>
      <w:tr w14:paraId="3031E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jc w:val="center"/>
        </w:trPr>
        <w:tc>
          <w:tcPr>
            <w:tcW w:w="1166" w:type="dxa"/>
            <w:vAlign w:val="center"/>
          </w:tcPr>
          <w:p w14:paraId="5A912507">
            <w:pPr>
              <w:pStyle w:val="27"/>
              <w:jc w:val="both"/>
              <w:rPr>
                <w:rFonts w:ascii="宋体" w:hAnsi="宋体"/>
                <w:bCs/>
                <w:sz w:val="26"/>
                <w:szCs w:val="26"/>
                <w:highlight w:val="none"/>
              </w:rPr>
            </w:pPr>
            <w:r>
              <w:rPr>
                <w:rFonts w:ascii="宋体" w:hAnsi="宋体"/>
                <w:bCs/>
                <w:sz w:val="26"/>
                <w:szCs w:val="26"/>
                <w:highlight w:val="none"/>
              </w:rPr>
              <w:t>34-39</w:t>
            </w:r>
          </w:p>
        </w:tc>
        <w:tc>
          <w:tcPr>
            <w:tcW w:w="1664" w:type="dxa"/>
            <w:vAlign w:val="center"/>
          </w:tcPr>
          <w:p w14:paraId="14FCB3A9">
            <w:pPr>
              <w:pStyle w:val="27"/>
              <w:jc w:val="both"/>
              <w:rPr>
                <w:rFonts w:ascii="宋体" w:hAnsi="宋体"/>
                <w:bCs/>
                <w:sz w:val="26"/>
                <w:szCs w:val="26"/>
                <w:highlight w:val="none"/>
              </w:rPr>
            </w:pPr>
            <w:r>
              <w:rPr>
                <w:rFonts w:ascii="宋体" w:hAnsi="宋体"/>
                <w:bCs/>
                <w:sz w:val="26"/>
                <w:szCs w:val="26"/>
                <w:highlight w:val="none"/>
              </w:rPr>
              <w:t>困人报警数据采集</w:t>
            </w:r>
          </w:p>
        </w:tc>
        <w:tc>
          <w:tcPr>
            <w:tcW w:w="7696" w:type="dxa"/>
            <w:vAlign w:val="center"/>
          </w:tcPr>
          <w:p w14:paraId="3AD0481E">
            <w:pPr>
              <w:pStyle w:val="27"/>
              <w:jc w:val="both"/>
              <w:rPr>
                <w:rFonts w:ascii="宋体" w:hAnsi="宋体"/>
                <w:bCs/>
                <w:sz w:val="26"/>
                <w:szCs w:val="26"/>
                <w:highlight w:val="none"/>
              </w:rPr>
            </w:pPr>
            <w:r>
              <w:rPr>
                <w:rFonts w:ascii="宋体" w:hAnsi="宋体"/>
                <w:bCs/>
                <w:sz w:val="26"/>
                <w:szCs w:val="26"/>
                <w:highlight w:val="none"/>
              </w:rPr>
              <w:t>▲34、通过物联网设备能判断困人故障，电梯监管困人救援准确率95%以上；投标时需提供第三方检测机构出具的有效的检测报告原件彩色扫描件或复印件加盖投标人公章的彩色扫描件；</w:t>
            </w:r>
          </w:p>
          <w:p w14:paraId="0DABB931">
            <w:pPr>
              <w:pStyle w:val="27"/>
              <w:jc w:val="both"/>
              <w:rPr>
                <w:rFonts w:ascii="宋体" w:hAnsi="宋体"/>
                <w:bCs/>
                <w:sz w:val="26"/>
                <w:szCs w:val="26"/>
                <w:highlight w:val="none"/>
              </w:rPr>
            </w:pPr>
            <w:r>
              <w:rPr>
                <w:rFonts w:ascii="宋体" w:hAnsi="宋体"/>
                <w:bCs/>
                <w:sz w:val="26"/>
                <w:szCs w:val="26"/>
                <w:highlight w:val="none"/>
              </w:rPr>
              <w:t>35、困人报警数据支持同步推送；</w:t>
            </w:r>
          </w:p>
          <w:p w14:paraId="2CE33D5F">
            <w:pPr>
              <w:pStyle w:val="27"/>
              <w:jc w:val="both"/>
              <w:rPr>
                <w:rFonts w:ascii="宋体" w:hAnsi="宋体"/>
                <w:bCs/>
                <w:sz w:val="26"/>
                <w:szCs w:val="26"/>
                <w:highlight w:val="none"/>
              </w:rPr>
            </w:pPr>
            <w:r>
              <w:rPr>
                <w:rFonts w:ascii="宋体" w:hAnsi="宋体"/>
                <w:bCs/>
                <w:sz w:val="26"/>
                <w:szCs w:val="26"/>
                <w:highlight w:val="none"/>
              </w:rPr>
              <w:t>36、报警信息支持语音、APP、WEB等方式接收；</w:t>
            </w:r>
          </w:p>
          <w:p w14:paraId="15760CC1">
            <w:pPr>
              <w:pStyle w:val="27"/>
              <w:jc w:val="both"/>
              <w:rPr>
                <w:rFonts w:ascii="宋体" w:hAnsi="宋体"/>
                <w:bCs/>
                <w:sz w:val="26"/>
                <w:szCs w:val="26"/>
                <w:highlight w:val="none"/>
              </w:rPr>
            </w:pPr>
            <w:r>
              <w:rPr>
                <w:rFonts w:ascii="宋体" w:hAnsi="宋体"/>
                <w:bCs/>
                <w:sz w:val="26"/>
                <w:szCs w:val="26"/>
                <w:highlight w:val="none"/>
              </w:rPr>
              <w:t>37、救援过程节点有记录，支持救援报告上传；</w:t>
            </w:r>
          </w:p>
          <w:p w14:paraId="6B491C4B">
            <w:pPr>
              <w:pStyle w:val="27"/>
              <w:jc w:val="both"/>
              <w:rPr>
                <w:rFonts w:ascii="宋体" w:hAnsi="宋体"/>
                <w:bCs/>
                <w:sz w:val="26"/>
                <w:szCs w:val="26"/>
                <w:highlight w:val="none"/>
              </w:rPr>
            </w:pPr>
            <w:r>
              <w:rPr>
                <w:rFonts w:ascii="宋体" w:hAnsi="宋体"/>
                <w:bCs/>
                <w:sz w:val="26"/>
                <w:szCs w:val="26"/>
                <w:highlight w:val="none"/>
              </w:rPr>
              <w:t xml:space="preserve">38、本地存储时间应不少于30天； </w:t>
            </w:r>
          </w:p>
          <w:p w14:paraId="0E712682">
            <w:pPr>
              <w:pStyle w:val="27"/>
              <w:jc w:val="both"/>
              <w:rPr>
                <w:rFonts w:ascii="宋体" w:hAnsi="宋体"/>
                <w:bCs/>
                <w:sz w:val="26"/>
                <w:szCs w:val="26"/>
                <w:highlight w:val="none"/>
              </w:rPr>
            </w:pPr>
            <w:r>
              <w:rPr>
                <w:rFonts w:ascii="宋体" w:hAnsi="宋体"/>
                <w:bCs/>
                <w:sz w:val="26"/>
                <w:szCs w:val="26"/>
                <w:highlight w:val="none"/>
              </w:rPr>
              <w:t>39、本地存储应至少包含电梯发生报警或困人时的图像，该图像为发生报警或困人前 30s 至解困完成后 30s总时长不超过 2 小时，同时该图像应存储于电梯物联网企业应用平台。</w:t>
            </w:r>
          </w:p>
        </w:tc>
      </w:tr>
      <w:tr w14:paraId="46D86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166" w:type="dxa"/>
            <w:vAlign w:val="center"/>
          </w:tcPr>
          <w:p w14:paraId="32C3CF66">
            <w:pPr>
              <w:pStyle w:val="27"/>
              <w:jc w:val="both"/>
              <w:rPr>
                <w:rFonts w:ascii="宋体" w:hAnsi="宋体"/>
                <w:bCs/>
                <w:sz w:val="26"/>
                <w:szCs w:val="26"/>
                <w:highlight w:val="none"/>
              </w:rPr>
            </w:pPr>
            <w:r>
              <w:rPr>
                <w:rFonts w:ascii="宋体" w:hAnsi="宋体"/>
                <w:bCs/>
                <w:sz w:val="26"/>
                <w:szCs w:val="26"/>
                <w:highlight w:val="none"/>
              </w:rPr>
              <w:t>40-43</w:t>
            </w:r>
          </w:p>
        </w:tc>
        <w:tc>
          <w:tcPr>
            <w:tcW w:w="1664" w:type="dxa"/>
            <w:vAlign w:val="center"/>
          </w:tcPr>
          <w:p w14:paraId="6F0C6D0B">
            <w:pPr>
              <w:pStyle w:val="27"/>
              <w:jc w:val="both"/>
              <w:rPr>
                <w:rFonts w:ascii="宋体" w:hAnsi="宋体"/>
                <w:bCs/>
                <w:sz w:val="26"/>
                <w:szCs w:val="26"/>
                <w:highlight w:val="none"/>
              </w:rPr>
            </w:pPr>
            <w:r>
              <w:rPr>
                <w:rFonts w:ascii="宋体" w:hAnsi="宋体"/>
                <w:bCs/>
                <w:sz w:val="26"/>
                <w:szCs w:val="26"/>
                <w:highlight w:val="none"/>
              </w:rPr>
              <w:t>系统性数据采集</w:t>
            </w:r>
          </w:p>
        </w:tc>
        <w:tc>
          <w:tcPr>
            <w:tcW w:w="7696" w:type="dxa"/>
            <w:vAlign w:val="center"/>
          </w:tcPr>
          <w:p w14:paraId="00F8F5B1">
            <w:pPr>
              <w:pStyle w:val="27"/>
              <w:jc w:val="both"/>
              <w:rPr>
                <w:rFonts w:ascii="宋体" w:hAnsi="宋体"/>
                <w:bCs/>
                <w:sz w:val="26"/>
                <w:szCs w:val="26"/>
                <w:highlight w:val="none"/>
              </w:rPr>
            </w:pPr>
            <w:r>
              <w:rPr>
                <w:rFonts w:ascii="宋体" w:hAnsi="宋体"/>
                <w:bCs/>
                <w:sz w:val="26"/>
                <w:szCs w:val="26"/>
                <w:highlight w:val="none"/>
              </w:rPr>
              <w:t>40、电梯远程监管采集装置，在线时长、离线时长采集；</w:t>
            </w:r>
          </w:p>
          <w:p w14:paraId="45B1479B">
            <w:pPr>
              <w:pStyle w:val="27"/>
              <w:jc w:val="both"/>
              <w:rPr>
                <w:rFonts w:ascii="宋体" w:hAnsi="宋体"/>
                <w:bCs/>
                <w:sz w:val="26"/>
                <w:szCs w:val="26"/>
                <w:highlight w:val="none"/>
              </w:rPr>
            </w:pPr>
            <w:r>
              <w:rPr>
                <w:rFonts w:ascii="宋体" w:hAnsi="宋体"/>
                <w:bCs/>
                <w:sz w:val="26"/>
                <w:szCs w:val="26"/>
                <w:highlight w:val="none"/>
              </w:rPr>
              <w:t>41、电梯远程监管采集装置，设备负载状态采集；</w:t>
            </w:r>
          </w:p>
          <w:p w14:paraId="2AD00277">
            <w:pPr>
              <w:pStyle w:val="27"/>
              <w:jc w:val="both"/>
              <w:rPr>
                <w:rFonts w:ascii="宋体" w:hAnsi="宋体"/>
                <w:bCs/>
                <w:sz w:val="26"/>
                <w:szCs w:val="26"/>
                <w:highlight w:val="none"/>
              </w:rPr>
            </w:pPr>
            <w:r>
              <w:rPr>
                <w:rFonts w:ascii="宋体" w:hAnsi="宋体"/>
                <w:bCs/>
                <w:sz w:val="26"/>
                <w:szCs w:val="26"/>
                <w:highlight w:val="none"/>
              </w:rPr>
              <w:t>42、电梯远程监管采集过程中，数据传输线路质量分析；</w:t>
            </w:r>
          </w:p>
          <w:p w14:paraId="236745E7">
            <w:pPr>
              <w:pStyle w:val="27"/>
              <w:jc w:val="both"/>
              <w:rPr>
                <w:rFonts w:ascii="宋体" w:hAnsi="宋体"/>
                <w:bCs/>
                <w:sz w:val="26"/>
                <w:szCs w:val="26"/>
                <w:highlight w:val="none"/>
              </w:rPr>
            </w:pPr>
            <w:r>
              <w:rPr>
                <w:rFonts w:ascii="宋体" w:hAnsi="宋体"/>
                <w:bCs/>
                <w:sz w:val="26"/>
                <w:szCs w:val="26"/>
                <w:highlight w:val="none"/>
              </w:rPr>
              <w:t>43、采集设备部件，配套软件版本信息采集（查询、升级）。</w:t>
            </w:r>
          </w:p>
        </w:tc>
      </w:tr>
      <w:tr w14:paraId="1CB85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jc w:val="center"/>
        </w:trPr>
        <w:tc>
          <w:tcPr>
            <w:tcW w:w="1166" w:type="dxa"/>
            <w:vAlign w:val="center"/>
          </w:tcPr>
          <w:p w14:paraId="2140E3B2">
            <w:pPr>
              <w:pStyle w:val="27"/>
              <w:jc w:val="both"/>
              <w:rPr>
                <w:rFonts w:ascii="宋体" w:hAnsi="宋体"/>
                <w:bCs/>
                <w:sz w:val="26"/>
                <w:szCs w:val="26"/>
                <w:highlight w:val="none"/>
              </w:rPr>
            </w:pPr>
            <w:r>
              <w:rPr>
                <w:rFonts w:ascii="宋体" w:hAnsi="宋体"/>
                <w:bCs/>
                <w:sz w:val="26"/>
                <w:szCs w:val="26"/>
                <w:highlight w:val="none"/>
              </w:rPr>
              <w:t>44</w:t>
            </w:r>
          </w:p>
        </w:tc>
        <w:tc>
          <w:tcPr>
            <w:tcW w:w="1664" w:type="dxa"/>
            <w:vMerge w:val="restart"/>
            <w:vAlign w:val="center"/>
          </w:tcPr>
          <w:p w14:paraId="50D43C71">
            <w:pPr>
              <w:pStyle w:val="27"/>
              <w:jc w:val="both"/>
              <w:rPr>
                <w:rFonts w:ascii="宋体" w:hAnsi="宋体"/>
                <w:bCs/>
                <w:sz w:val="26"/>
                <w:szCs w:val="26"/>
                <w:highlight w:val="none"/>
              </w:rPr>
            </w:pPr>
            <w:r>
              <w:rPr>
                <w:rFonts w:ascii="宋体" w:hAnsi="宋体"/>
                <w:bCs/>
                <w:sz w:val="26"/>
                <w:szCs w:val="26"/>
                <w:highlight w:val="none"/>
              </w:rPr>
              <w:t>采集设备功能性要求</w:t>
            </w:r>
          </w:p>
        </w:tc>
        <w:tc>
          <w:tcPr>
            <w:tcW w:w="7696" w:type="dxa"/>
            <w:vAlign w:val="center"/>
          </w:tcPr>
          <w:p w14:paraId="66432AC8">
            <w:pPr>
              <w:pStyle w:val="27"/>
              <w:jc w:val="both"/>
              <w:rPr>
                <w:rFonts w:ascii="宋体" w:hAnsi="宋体"/>
                <w:bCs/>
                <w:sz w:val="26"/>
                <w:szCs w:val="26"/>
                <w:highlight w:val="none"/>
              </w:rPr>
            </w:pPr>
            <w:r>
              <w:rPr>
                <w:rFonts w:ascii="宋体" w:hAnsi="宋体"/>
                <w:bCs/>
                <w:sz w:val="26"/>
                <w:szCs w:val="26"/>
                <w:highlight w:val="none"/>
              </w:rPr>
              <w:t>▲44、监测终端应与电梯原有设备之间采取隔离措施，采用外加的传感器、与电梯本身的电气线路无任何连接，投标人应确保加装在电梯上的所有设备不影响电梯的运行控制系统。如因中标人所安装的设备影响到电梯的正常运行造成不良后果的，经第三方专业检测机构检测确认以后，将依法依规追究中标人相应责任。</w:t>
            </w:r>
          </w:p>
        </w:tc>
      </w:tr>
      <w:tr w14:paraId="2A330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jc w:val="center"/>
        </w:trPr>
        <w:tc>
          <w:tcPr>
            <w:tcW w:w="1166" w:type="dxa"/>
            <w:vAlign w:val="center"/>
          </w:tcPr>
          <w:p w14:paraId="1D8889AD">
            <w:pPr>
              <w:pStyle w:val="27"/>
              <w:jc w:val="both"/>
              <w:rPr>
                <w:rFonts w:ascii="宋体" w:hAnsi="宋体"/>
                <w:bCs/>
                <w:sz w:val="26"/>
                <w:szCs w:val="26"/>
                <w:highlight w:val="none"/>
              </w:rPr>
            </w:pPr>
            <w:r>
              <w:rPr>
                <w:rFonts w:ascii="宋体" w:hAnsi="宋体"/>
                <w:bCs/>
                <w:sz w:val="26"/>
                <w:szCs w:val="26"/>
                <w:highlight w:val="none"/>
              </w:rPr>
              <w:t>45-46</w:t>
            </w:r>
          </w:p>
        </w:tc>
        <w:tc>
          <w:tcPr>
            <w:tcW w:w="1664" w:type="dxa"/>
            <w:vMerge w:val="continue"/>
            <w:vAlign w:val="center"/>
          </w:tcPr>
          <w:p w14:paraId="1EA805EE">
            <w:pPr>
              <w:pStyle w:val="27"/>
              <w:jc w:val="both"/>
              <w:rPr>
                <w:rFonts w:ascii="宋体" w:hAnsi="宋体"/>
                <w:bCs/>
                <w:sz w:val="26"/>
                <w:szCs w:val="26"/>
                <w:highlight w:val="none"/>
              </w:rPr>
            </w:pPr>
          </w:p>
        </w:tc>
        <w:tc>
          <w:tcPr>
            <w:tcW w:w="7696" w:type="dxa"/>
            <w:vAlign w:val="center"/>
          </w:tcPr>
          <w:p w14:paraId="70CE571B">
            <w:pPr>
              <w:pStyle w:val="27"/>
              <w:jc w:val="both"/>
              <w:rPr>
                <w:rFonts w:ascii="宋体" w:hAnsi="宋体"/>
                <w:bCs/>
                <w:sz w:val="26"/>
                <w:szCs w:val="26"/>
                <w:highlight w:val="none"/>
              </w:rPr>
            </w:pPr>
            <w:r>
              <w:rPr>
                <w:rFonts w:ascii="宋体" w:hAnsi="宋体"/>
                <w:bCs/>
                <w:sz w:val="26"/>
                <w:szCs w:val="26"/>
                <w:highlight w:val="none"/>
              </w:rPr>
              <w:t>▲45、监测终端应在本地端设置有存储单元能至少保持最近 100 条电梯的状态信息记录；投标时需提供第三方检测机构出具的有效的检测报告原件彩色扫描件或复印件加盖投标人公章的彩色扫描件；</w:t>
            </w:r>
          </w:p>
          <w:p w14:paraId="2F73A860">
            <w:pPr>
              <w:pStyle w:val="27"/>
              <w:jc w:val="both"/>
              <w:rPr>
                <w:rFonts w:ascii="宋体" w:hAnsi="宋体"/>
                <w:bCs/>
                <w:sz w:val="26"/>
                <w:szCs w:val="26"/>
                <w:highlight w:val="none"/>
              </w:rPr>
            </w:pPr>
            <w:r>
              <w:rPr>
                <w:rFonts w:ascii="宋体" w:hAnsi="宋体"/>
                <w:bCs/>
                <w:sz w:val="26"/>
                <w:szCs w:val="26"/>
                <w:highlight w:val="none"/>
              </w:rPr>
              <w:t>▲46、有对采集的图像文件防篡改或确保文件完整性的相关保护措施；投标时需提供第三方检测机构出具的有效的检测报告原件彩色扫描件或复印件加盖投标人公章的彩色扫描件；</w:t>
            </w:r>
          </w:p>
        </w:tc>
      </w:tr>
      <w:tr w14:paraId="4C9AF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jc w:val="center"/>
        </w:trPr>
        <w:tc>
          <w:tcPr>
            <w:tcW w:w="1166" w:type="dxa"/>
            <w:vAlign w:val="center"/>
          </w:tcPr>
          <w:p w14:paraId="078D39A7">
            <w:pPr>
              <w:pStyle w:val="27"/>
              <w:jc w:val="both"/>
              <w:rPr>
                <w:rFonts w:ascii="宋体" w:hAnsi="宋体"/>
                <w:bCs/>
                <w:sz w:val="26"/>
                <w:szCs w:val="26"/>
                <w:highlight w:val="none"/>
              </w:rPr>
            </w:pPr>
            <w:r>
              <w:rPr>
                <w:rFonts w:ascii="宋体" w:hAnsi="宋体"/>
                <w:bCs/>
                <w:sz w:val="26"/>
                <w:szCs w:val="26"/>
                <w:highlight w:val="none"/>
              </w:rPr>
              <w:t>47-48</w:t>
            </w:r>
          </w:p>
        </w:tc>
        <w:tc>
          <w:tcPr>
            <w:tcW w:w="1664" w:type="dxa"/>
            <w:vMerge w:val="continue"/>
            <w:vAlign w:val="center"/>
          </w:tcPr>
          <w:p w14:paraId="0F3DBE3D">
            <w:pPr>
              <w:pStyle w:val="27"/>
              <w:jc w:val="both"/>
              <w:rPr>
                <w:rFonts w:ascii="宋体" w:hAnsi="宋体"/>
                <w:bCs/>
                <w:sz w:val="26"/>
                <w:szCs w:val="26"/>
                <w:highlight w:val="none"/>
              </w:rPr>
            </w:pPr>
          </w:p>
        </w:tc>
        <w:tc>
          <w:tcPr>
            <w:tcW w:w="7696" w:type="dxa"/>
            <w:vAlign w:val="center"/>
          </w:tcPr>
          <w:p w14:paraId="37D6ED64">
            <w:pPr>
              <w:pStyle w:val="27"/>
              <w:jc w:val="both"/>
              <w:rPr>
                <w:rFonts w:ascii="宋体" w:hAnsi="宋体"/>
                <w:bCs/>
                <w:sz w:val="26"/>
                <w:szCs w:val="26"/>
                <w:highlight w:val="none"/>
              </w:rPr>
            </w:pPr>
            <w:r>
              <w:rPr>
                <w:rFonts w:ascii="宋体" w:hAnsi="宋体"/>
                <w:bCs/>
                <w:sz w:val="26"/>
                <w:szCs w:val="26"/>
                <w:highlight w:val="none"/>
              </w:rPr>
              <w:t>47、设备的状态仅接受应用平台的查询，实时运行状态信息的间隙不大于 1s；</w:t>
            </w:r>
          </w:p>
          <w:p w14:paraId="01A3C804">
            <w:pPr>
              <w:pStyle w:val="27"/>
              <w:jc w:val="both"/>
              <w:rPr>
                <w:rFonts w:ascii="宋体" w:hAnsi="宋体"/>
                <w:bCs/>
                <w:sz w:val="26"/>
                <w:szCs w:val="26"/>
                <w:highlight w:val="none"/>
              </w:rPr>
            </w:pPr>
            <w:r>
              <w:rPr>
                <w:rFonts w:ascii="宋体" w:hAnsi="宋体"/>
                <w:bCs/>
                <w:sz w:val="26"/>
                <w:szCs w:val="26"/>
                <w:highlight w:val="none"/>
              </w:rPr>
              <w:t>48、监测终端与应用平台之间的数据传输和存储宜有安全策略，对数据进行加密，对数据的远程读取应有权限管理。</w:t>
            </w:r>
          </w:p>
        </w:tc>
      </w:tr>
      <w:tr w14:paraId="3DE2E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jc w:val="center"/>
        </w:trPr>
        <w:tc>
          <w:tcPr>
            <w:tcW w:w="1166" w:type="dxa"/>
            <w:vAlign w:val="center"/>
          </w:tcPr>
          <w:p w14:paraId="77512F3E">
            <w:pPr>
              <w:pStyle w:val="27"/>
              <w:jc w:val="both"/>
              <w:rPr>
                <w:rFonts w:ascii="宋体" w:hAnsi="宋体"/>
                <w:bCs/>
                <w:sz w:val="26"/>
                <w:szCs w:val="26"/>
                <w:highlight w:val="none"/>
              </w:rPr>
            </w:pPr>
            <w:r>
              <w:rPr>
                <w:rFonts w:ascii="宋体" w:hAnsi="宋体"/>
                <w:bCs/>
                <w:sz w:val="26"/>
                <w:szCs w:val="26"/>
                <w:highlight w:val="none"/>
              </w:rPr>
              <w:t>49-64</w:t>
            </w:r>
          </w:p>
        </w:tc>
        <w:tc>
          <w:tcPr>
            <w:tcW w:w="1664" w:type="dxa"/>
            <w:vAlign w:val="center"/>
          </w:tcPr>
          <w:p w14:paraId="611FADB3">
            <w:pPr>
              <w:pStyle w:val="27"/>
              <w:jc w:val="both"/>
              <w:rPr>
                <w:rFonts w:ascii="宋体" w:hAnsi="宋体"/>
                <w:bCs/>
                <w:sz w:val="26"/>
                <w:szCs w:val="26"/>
                <w:highlight w:val="none"/>
              </w:rPr>
            </w:pPr>
            <w:r>
              <w:rPr>
                <w:rFonts w:ascii="宋体" w:hAnsi="宋体"/>
                <w:bCs/>
                <w:sz w:val="26"/>
                <w:szCs w:val="26"/>
                <w:highlight w:val="none"/>
              </w:rPr>
              <w:t>输出并生成的电梯故障信息要求</w:t>
            </w:r>
          </w:p>
        </w:tc>
        <w:tc>
          <w:tcPr>
            <w:tcW w:w="7696" w:type="dxa"/>
            <w:vAlign w:val="center"/>
          </w:tcPr>
          <w:p w14:paraId="1A378359">
            <w:pPr>
              <w:pStyle w:val="27"/>
              <w:jc w:val="both"/>
              <w:rPr>
                <w:rFonts w:ascii="宋体" w:hAnsi="宋体"/>
                <w:bCs/>
                <w:sz w:val="26"/>
                <w:szCs w:val="26"/>
                <w:highlight w:val="none"/>
              </w:rPr>
            </w:pPr>
            <w:r>
              <w:rPr>
                <w:rFonts w:ascii="宋体" w:hAnsi="宋体"/>
                <w:bCs/>
                <w:sz w:val="26"/>
                <w:szCs w:val="26"/>
                <w:highlight w:val="none"/>
              </w:rPr>
              <w:t>远程监测系统应至少输出并生成的电梯故障信息要求</w:t>
            </w:r>
          </w:p>
          <w:p w14:paraId="48B666A7">
            <w:pPr>
              <w:pStyle w:val="27"/>
              <w:jc w:val="both"/>
              <w:rPr>
                <w:rFonts w:ascii="宋体" w:hAnsi="宋体"/>
                <w:bCs/>
                <w:sz w:val="26"/>
                <w:szCs w:val="26"/>
                <w:highlight w:val="none"/>
              </w:rPr>
            </w:pPr>
            <w:r>
              <w:rPr>
                <w:rFonts w:ascii="宋体" w:hAnsi="宋体"/>
                <w:bCs/>
                <w:sz w:val="26"/>
                <w:szCs w:val="26"/>
                <w:highlight w:val="none"/>
              </w:rPr>
              <w:t>49、无故障</w:t>
            </w:r>
          </w:p>
          <w:p w14:paraId="19630799">
            <w:pPr>
              <w:pStyle w:val="27"/>
              <w:jc w:val="both"/>
              <w:rPr>
                <w:rFonts w:ascii="宋体" w:hAnsi="宋体"/>
                <w:bCs/>
                <w:sz w:val="26"/>
                <w:szCs w:val="26"/>
                <w:highlight w:val="none"/>
              </w:rPr>
            </w:pPr>
            <w:r>
              <w:rPr>
                <w:rFonts w:ascii="宋体" w:hAnsi="宋体"/>
                <w:bCs/>
                <w:sz w:val="26"/>
                <w:szCs w:val="26"/>
                <w:highlight w:val="none"/>
              </w:rPr>
              <w:t>50、运行时安全回路断</w:t>
            </w:r>
          </w:p>
          <w:p w14:paraId="11DCAEF1">
            <w:pPr>
              <w:pStyle w:val="27"/>
              <w:jc w:val="both"/>
              <w:rPr>
                <w:rFonts w:ascii="宋体" w:hAnsi="宋体"/>
                <w:bCs/>
                <w:sz w:val="26"/>
                <w:szCs w:val="26"/>
                <w:highlight w:val="none"/>
              </w:rPr>
            </w:pPr>
            <w:r>
              <w:rPr>
                <w:rFonts w:ascii="宋体" w:hAnsi="宋体"/>
                <w:bCs/>
                <w:sz w:val="26"/>
                <w:szCs w:val="26"/>
                <w:highlight w:val="none"/>
              </w:rPr>
              <w:t>51、关门故障</w:t>
            </w:r>
          </w:p>
          <w:p w14:paraId="1F9BD95C">
            <w:pPr>
              <w:pStyle w:val="27"/>
              <w:jc w:val="both"/>
              <w:rPr>
                <w:rFonts w:ascii="宋体" w:hAnsi="宋体"/>
                <w:bCs/>
                <w:sz w:val="26"/>
                <w:szCs w:val="26"/>
                <w:highlight w:val="none"/>
              </w:rPr>
            </w:pPr>
            <w:r>
              <w:rPr>
                <w:rFonts w:ascii="宋体" w:hAnsi="宋体"/>
                <w:bCs/>
                <w:sz w:val="26"/>
                <w:szCs w:val="26"/>
                <w:highlight w:val="none"/>
              </w:rPr>
              <w:t>52、开门故障</w:t>
            </w:r>
          </w:p>
          <w:p w14:paraId="424753D5">
            <w:pPr>
              <w:pStyle w:val="27"/>
              <w:jc w:val="both"/>
              <w:rPr>
                <w:rFonts w:ascii="宋体" w:hAnsi="宋体"/>
                <w:bCs/>
                <w:sz w:val="26"/>
                <w:szCs w:val="26"/>
                <w:highlight w:val="none"/>
              </w:rPr>
            </w:pPr>
            <w:r>
              <w:rPr>
                <w:rFonts w:ascii="宋体" w:hAnsi="宋体"/>
                <w:bCs/>
                <w:sz w:val="26"/>
                <w:szCs w:val="26"/>
                <w:highlight w:val="none"/>
              </w:rPr>
              <w:t>53、轿厢在开锁区域外停梯</w:t>
            </w:r>
          </w:p>
          <w:p w14:paraId="45026DF4">
            <w:pPr>
              <w:pStyle w:val="27"/>
              <w:jc w:val="both"/>
              <w:rPr>
                <w:rFonts w:ascii="宋体" w:hAnsi="宋体"/>
                <w:bCs/>
                <w:sz w:val="26"/>
                <w:szCs w:val="26"/>
                <w:highlight w:val="none"/>
              </w:rPr>
            </w:pPr>
            <w:r>
              <w:rPr>
                <w:rFonts w:ascii="宋体" w:hAnsi="宋体"/>
                <w:bCs/>
                <w:sz w:val="26"/>
                <w:szCs w:val="26"/>
                <w:highlight w:val="none"/>
              </w:rPr>
              <w:t>54、轿厢意外移动</w:t>
            </w:r>
          </w:p>
          <w:p w14:paraId="0F59C374">
            <w:pPr>
              <w:pStyle w:val="27"/>
              <w:jc w:val="both"/>
              <w:rPr>
                <w:rFonts w:ascii="宋体" w:hAnsi="宋体"/>
                <w:bCs/>
                <w:sz w:val="26"/>
                <w:szCs w:val="26"/>
                <w:highlight w:val="none"/>
              </w:rPr>
            </w:pPr>
            <w:r>
              <w:rPr>
                <w:rFonts w:ascii="宋体" w:hAnsi="宋体"/>
                <w:bCs/>
                <w:sz w:val="26"/>
                <w:szCs w:val="26"/>
                <w:highlight w:val="none"/>
              </w:rPr>
              <w:t>55、电动机运转时间</w:t>
            </w:r>
          </w:p>
          <w:p w14:paraId="4A793678">
            <w:pPr>
              <w:pStyle w:val="27"/>
              <w:jc w:val="both"/>
              <w:rPr>
                <w:rFonts w:ascii="宋体" w:hAnsi="宋体"/>
                <w:bCs/>
                <w:sz w:val="26"/>
                <w:szCs w:val="26"/>
                <w:highlight w:val="none"/>
              </w:rPr>
            </w:pPr>
            <w:r>
              <w:rPr>
                <w:rFonts w:ascii="宋体" w:hAnsi="宋体"/>
                <w:bCs/>
                <w:sz w:val="26"/>
                <w:szCs w:val="26"/>
                <w:highlight w:val="none"/>
              </w:rPr>
              <w:t>56、限制器动作</w:t>
            </w:r>
          </w:p>
          <w:p w14:paraId="345BD28A">
            <w:pPr>
              <w:pStyle w:val="27"/>
              <w:jc w:val="both"/>
              <w:rPr>
                <w:rFonts w:ascii="宋体" w:hAnsi="宋体"/>
                <w:bCs/>
                <w:sz w:val="26"/>
                <w:szCs w:val="26"/>
                <w:highlight w:val="none"/>
              </w:rPr>
            </w:pPr>
            <w:r>
              <w:rPr>
                <w:rFonts w:ascii="宋体" w:hAnsi="宋体"/>
                <w:bCs/>
                <w:sz w:val="26"/>
                <w:szCs w:val="26"/>
                <w:highlight w:val="none"/>
              </w:rPr>
              <w:t>57、楼层位置丢失</w:t>
            </w:r>
          </w:p>
          <w:p w14:paraId="604225B1">
            <w:pPr>
              <w:pStyle w:val="27"/>
              <w:jc w:val="both"/>
              <w:rPr>
                <w:rFonts w:ascii="宋体" w:hAnsi="宋体"/>
                <w:bCs/>
                <w:sz w:val="26"/>
                <w:szCs w:val="26"/>
                <w:highlight w:val="none"/>
              </w:rPr>
            </w:pPr>
            <w:r>
              <w:rPr>
                <w:rFonts w:ascii="宋体" w:hAnsi="宋体"/>
                <w:bCs/>
                <w:sz w:val="26"/>
                <w:szCs w:val="26"/>
                <w:highlight w:val="none"/>
              </w:rPr>
              <w:t>58、其他阻止电梯再启动的故障</w:t>
            </w:r>
          </w:p>
          <w:p w14:paraId="79B74606">
            <w:pPr>
              <w:pStyle w:val="27"/>
              <w:jc w:val="both"/>
              <w:rPr>
                <w:rFonts w:ascii="宋体" w:hAnsi="宋体"/>
                <w:bCs/>
                <w:sz w:val="26"/>
                <w:szCs w:val="26"/>
                <w:highlight w:val="none"/>
              </w:rPr>
            </w:pPr>
            <w:r>
              <w:rPr>
                <w:rFonts w:ascii="宋体" w:hAnsi="宋体"/>
                <w:bCs/>
                <w:sz w:val="26"/>
                <w:szCs w:val="26"/>
                <w:highlight w:val="none"/>
              </w:rPr>
              <w:t>59、电梯超速</w:t>
            </w:r>
          </w:p>
          <w:p w14:paraId="51126C84">
            <w:pPr>
              <w:pStyle w:val="27"/>
              <w:jc w:val="both"/>
              <w:rPr>
                <w:rFonts w:ascii="宋体" w:hAnsi="宋体"/>
                <w:bCs/>
                <w:sz w:val="26"/>
                <w:szCs w:val="26"/>
                <w:highlight w:val="none"/>
              </w:rPr>
            </w:pPr>
            <w:r>
              <w:rPr>
                <w:rFonts w:ascii="宋体" w:hAnsi="宋体"/>
                <w:bCs/>
                <w:sz w:val="26"/>
                <w:szCs w:val="26"/>
                <w:highlight w:val="none"/>
              </w:rPr>
              <w:t>60、冲顶故障</w:t>
            </w:r>
          </w:p>
          <w:p w14:paraId="352D6060">
            <w:pPr>
              <w:pStyle w:val="27"/>
              <w:jc w:val="both"/>
              <w:rPr>
                <w:rFonts w:ascii="宋体" w:hAnsi="宋体"/>
                <w:bCs/>
                <w:sz w:val="26"/>
                <w:szCs w:val="26"/>
                <w:highlight w:val="none"/>
              </w:rPr>
            </w:pPr>
            <w:r>
              <w:rPr>
                <w:rFonts w:ascii="宋体" w:hAnsi="宋体"/>
                <w:bCs/>
                <w:sz w:val="26"/>
                <w:szCs w:val="26"/>
                <w:highlight w:val="none"/>
              </w:rPr>
              <w:t>61、蹲底故障</w:t>
            </w:r>
          </w:p>
          <w:p w14:paraId="5287E6A5">
            <w:pPr>
              <w:pStyle w:val="27"/>
              <w:jc w:val="both"/>
              <w:rPr>
                <w:rFonts w:ascii="宋体" w:hAnsi="宋体"/>
                <w:bCs/>
                <w:sz w:val="26"/>
                <w:szCs w:val="26"/>
                <w:highlight w:val="none"/>
              </w:rPr>
            </w:pPr>
            <w:r>
              <w:rPr>
                <w:rFonts w:ascii="宋体" w:hAnsi="宋体"/>
                <w:bCs/>
                <w:sz w:val="26"/>
                <w:szCs w:val="26"/>
                <w:highlight w:val="none"/>
              </w:rPr>
              <w:t>62、困人故障(可同时在轿内设置一键触发报警装置)</w:t>
            </w:r>
          </w:p>
          <w:p w14:paraId="1F676B17">
            <w:pPr>
              <w:pStyle w:val="27"/>
              <w:jc w:val="both"/>
              <w:rPr>
                <w:rFonts w:ascii="宋体" w:hAnsi="宋体"/>
                <w:bCs/>
                <w:sz w:val="26"/>
                <w:szCs w:val="26"/>
                <w:highlight w:val="none"/>
              </w:rPr>
            </w:pPr>
            <w:r>
              <w:rPr>
                <w:rFonts w:ascii="宋体" w:hAnsi="宋体"/>
                <w:bCs/>
                <w:sz w:val="26"/>
                <w:szCs w:val="26"/>
                <w:highlight w:val="none"/>
              </w:rPr>
              <w:t>63、反复开关门故障</w:t>
            </w:r>
          </w:p>
          <w:p w14:paraId="3A808C83">
            <w:pPr>
              <w:pStyle w:val="27"/>
              <w:jc w:val="both"/>
              <w:rPr>
                <w:rFonts w:ascii="宋体" w:hAnsi="宋体"/>
                <w:bCs/>
                <w:sz w:val="26"/>
                <w:szCs w:val="26"/>
                <w:highlight w:val="none"/>
              </w:rPr>
            </w:pPr>
            <w:r>
              <w:rPr>
                <w:rFonts w:ascii="宋体" w:hAnsi="宋体"/>
                <w:bCs/>
                <w:sz w:val="26"/>
                <w:szCs w:val="26"/>
                <w:highlight w:val="none"/>
              </w:rPr>
              <w:t>64、运行中开门故障</w:t>
            </w:r>
          </w:p>
          <w:p w14:paraId="39A232F6">
            <w:pPr>
              <w:pStyle w:val="27"/>
              <w:jc w:val="both"/>
              <w:rPr>
                <w:rFonts w:ascii="宋体" w:hAnsi="宋体"/>
                <w:bCs/>
                <w:sz w:val="26"/>
                <w:szCs w:val="26"/>
                <w:highlight w:val="none"/>
              </w:rPr>
            </w:pPr>
            <w:r>
              <w:rPr>
                <w:rFonts w:ascii="宋体" w:hAnsi="宋体"/>
                <w:bCs/>
                <w:sz w:val="26"/>
                <w:szCs w:val="26"/>
                <w:highlight w:val="none"/>
              </w:rPr>
              <w:t>上述故障信息应具备日志记录功能，以便于故障原因分析与溯源。</w:t>
            </w:r>
          </w:p>
        </w:tc>
      </w:tr>
    </w:tbl>
    <w:p w14:paraId="1FF4A56E">
      <w:pPr>
        <w:pStyle w:val="27"/>
        <w:jc w:val="both"/>
        <w:rPr>
          <w:rFonts w:ascii="宋体" w:hAnsi="宋体"/>
          <w:bCs/>
          <w:sz w:val="26"/>
          <w:szCs w:val="26"/>
          <w:highlight w:val="none"/>
        </w:rPr>
      </w:pPr>
    </w:p>
    <w:p w14:paraId="49E6CD5C">
      <w:pPr>
        <w:pStyle w:val="27"/>
        <w:jc w:val="both"/>
        <w:rPr>
          <w:rFonts w:ascii="宋体" w:hAnsi="宋体"/>
          <w:bCs/>
          <w:sz w:val="26"/>
          <w:szCs w:val="26"/>
          <w:highlight w:val="none"/>
        </w:rPr>
      </w:pPr>
    </w:p>
    <w:p w14:paraId="090070D3">
      <w:pPr>
        <w:pStyle w:val="27"/>
        <w:numPr>
          <w:ilvl w:val="0"/>
          <w:numId w:val="1"/>
        </w:numPr>
        <w:jc w:val="both"/>
        <w:rPr>
          <w:rFonts w:ascii="宋体" w:hAnsi="宋体"/>
          <w:bCs/>
          <w:sz w:val="26"/>
          <w:szCs w:val="26"/>
          <w:highlight w:val="none"/>
        </w:rPr>
      </w:pPr>
      <w:r>
        <w:rPr>
          <w:rFonts w:ascii="宋体" w:hAnsi="宋体"/>
          <w:bCs/>
          <w:sz w:val="26"/>
          <w:szCs w:val="26"/>
          <w:highlight w:val="none"/>
        </w:rPr>
        <w:t>商务要求</w:t>
      </w:r>
    </w:p>
    <w:p w14:paraId="5FC502C1">
      <w:pPr>
        <w:adjustRightInd/>
        <w:snapToGrid/>
        <w:spacing w:before="150" w:after="0" w:line="480" w:lineRule="atLeast"/>
        <w:jc w:val="both"/>
        <w:rPr>
          <w:rFonts w:hint="eastAsia" w:ascii="宋体" w:hAnsi="宋体" w:eastAsia="宋体" w:cs="宋体"/>
          <w:b/>
          <w:bCs/>
          <w:sz w:val="26"/>
          <w:highlight w:val="none"/>
        </w:rPr>
      </w:pPr>
      <w:r>
        <w:rPr>
          <w:rFonts w:hint="eastAsia" w:ascii="宋体" w:hAnsi="宋体" w:eastAsia="宋体" w:cs="宋体"/>
          <w:b/>
          <w:bCs/>
          <w:sz w:val="26"/>
          <w:highlight w:val="none"/>
        </w:rPr>
        <w:t>1、售后服务要求</w:t>
      </w:r>
    </w:p>
    <w:p w14:paraId="23BEDBE8">
      <w:pPr>
        <w:adjustRightInd/>
        <w:snapToGrid/>
        <w:spacing w:before="150" w:after="0" w:line="480" w:lineRule="atLeast"/>
        <w:ind w:firstLine="480"/>
        <w:jc w:val="both"/>
        <w:rPr>
          <w:rFonts w:hint="eastAsia" w:ascii="宋体" w:hAnsi="宋体" w:eastAsia="宋体" w:cs="宋体"/>
          <w:sz w:val="26"/>
          <w:szCs w:val="26"/>
          <w:highlight w:val="none"/>
        </w:rPr>
      </w:pPr>
      <w:r>
        <w:rPr>
          <w:rFonts w:hint="eastAsia" w:ascii="宋体" w:hAnsi="宋体" w:eastAsia="宋体" w:cs="宋体"/>
          <w:sz w:val="26"/>
          <w:szCs w:val="26"/>
          <w:highlight w:val="none"/>
        </w:rPr>
        <w:t>1.1中标人应向采购人提供完整的技术资料壹套。各项指标和参数应符合验收标准，采购人有权委托国内有资质单位或机构对货物性能、精度进行校核。</w:t>
      </w:r>
    </w:p>
    <w:p w14:paraId="0B01CBC1">
      <w:pPr>
        <w:adjustRightInd/>
        <w:snapToGrid/>
        <w:spacing w:before="150" w:after="0" w:line="480" w:lineRule="atLeast"/>
        <w:ind w:firstLine="480"/>
        <w:jc w:val="both"/>
        <w:rPr>
          <w:rFonts w:hint="eastAsia" w:ascii="宋体" w:hAnsi="宋体" w:eastAsia="宋体" w:cs="宋体"/>
          <w:sz w:val="26"/>
          <w:szCs w:val="26"/>
          <w:highlight w:val="none"/>
        </w:rPr>
      </w:pPr>
      <w:r>
        <w:rPr>
          <w:rFonts w:hint="eastAsia" w:ascii="宋体" w:hAnsi="宋体" w:eastAsia="宋体" w:cs="宋体"/>
          <w:sz w:val="26"/>
          <w:szCs w:val="26"/>
          <w:highlight w:val="none"/>
        </w:rPr>
        <w:t>1.2中标人应提供货物的出厂检验报告、合格证书、装箱单等。</w:t>
      </w:r>
    </w:p>
    <w:p w14:paraId="0EB0CAD8">
      <w:pPr>
        <w:adjustRightInd/>
        <w:snapToGrid/>
        <w:spacing w:before="150" w:after="0" w:line="480" w:lineRule="atLeast"/>
        <w:ind w:firstLine="480"/>
        <w:jc w:val="both"/>
        <w:rPr>
          <w:rFonts w:hint="eastAsia" w:ascii="宋体" w:hAnsi="宋体" w:eastAsia="宋体" w:cs="宋体"/>
          <w:sz w:val="26"/>
          <w:szCs w:val="26"/>
          <w:highlight w:val="none"/>
        </w:rPr>
      </w:pPr>
      <w:r>
        <w:rPr>
          <w:rFonts w:hint="eastAsia" w:ascii="宋体" w:hAnsi="宋体" w:eastAsia="宋体" w:cs="宋体"/>
          <w:sz w:val="26"/>
          <w:szCs w:val="26"/>
          <w:highlight w:val="none"/>
        </w:rPr>
        <w:t>1.3质保期内提供（7*24）上门维护、免费升级服务，对故障能即时响应，2小时以内到现场，6小时以内提出问题解决方案所采取的措施。若 24 小时内无法排除故障，则应先提供同档次备用机供采购方使用。其中发生一切费用由中标方承担。质量保证期内中标方有责任对设备进行不定期的巡查检修。逾期未作出响应，中标方应承担由于故障所造成的全部损失并视情处以2000元至5000元罚款。</w:t>
      </w:r>
    </w:p>
    <w:p w14:paraId="378234A9">
      <w:pPr>
        <w:adjustRightInd/>
        <w:snapToGrid/>
        <w:spacing w:before="150" w:after="0" w:line="480" w:lineRule="atLeast"/>
        <w:ind w:firstLine="480"/>
        <w:jc w:val="both"/>
        <w:rPr>
          <w:rFonts w:hint="eastAsia" w:ascii="宋体" w:hAnsi="宋体" w:eastAsia="宋体" w:cs="宋体"/>
          <w:sz w:val="26"/>
          <w:szCs w:val="26"/>
          <w:highlight w:val="none"/>
        </w:rPr>
      </w:pPr>
      <w:r>
        <w:rPr>
          <w:rFonts w:hint="eastAsia" w:ascii="宋体" w:hAnsi="宋体" w:eastAsia="宋体" w:cs="宋体"/>
          <w:sz w:val="26"/>
          <w:szCs w:val="26"/>
          <w:highlight w:val="none"/>
        </w:rPr>
        <w:t>1.4安装、调试：由中标人或原生产厂家现场安装调试。安装到采购方指定地点，并负责包含但不限于备件、专用工具、安装、调试、检验、技术培训及技术资料和运输保险等所有相关费用。</w:t>
      </w:r>
    </w:p>
    <w:p w14:paraId="509AA2BA">
      <w:pPr>
        <w:adjustRightInd/>
        <w:snapToGrid/>
        <w:spacing w:before="150" w:after="0" w:line="480" w:lineRule="atLeast"/>
        <w:ind w:firstLine="480"/>
        <w:jc w:val="both"/>
        <w:rPr>
          <w:rFonts w:hint="eastAsia" w:ascii="宋体" w:hAnsi="宋体" w:eastAsia="宋体" w:cs="宋体"/>
          <w:sz w:val="26"/>
          <w:szCs w:val="26"/>
          <w:highlight w:val="none"/>
        </w:rPr>
      </w:pPr>
      <w:r>
        <w:rPr>
          <w:rFonts w:hint="eastAsia" w:ascii="宋体" w:hAnsi="宋体" w:eastAsia="宋体" w:cs="宋体"/>
          <w:sz w:val="26"/>
          <w:szCs w:val="26"/>
          <w:highlight w:val="none"/>
        </w:rPr>
        <w:t>1.5培训：由中标人或原生产厂家进行安装培训和售后培训。</w:t>
      </w:r>
    </w:p>
    <w:p w14:paraId="238C9421">
      <w:pPr>
        <w:adjustRightInd/>
        <w:snapToGrid/>
        <w:spacing w:before="150" w:after="0" w:line="480" w:lineRule="atLeast"/>
        <w:ind w:firstLine="480"/>
        <w:jc w:val="both"/>
        <w:rPr>
          <w:rFonts w:hint="eastAsia" w:ascii="宋体" w:hAnsi="宋体" w:eastAsia="宋体" w:cs="宋体"/>
          <w:sz w:val="26"/>
          <w:szCs w:val="26"/>
          <w:highlight w:val="none"/>
        </w:rPr>
      </w:pPr>
      <w:r>
        <w:rPr>
          <w:rFonts w:hint="eastAsia" w:ascii="宋体" w:hAnsi="宋体" w:eastAsia="宋体" w:cs="宋体"/>
          <w:sz w:val="26"/>
          <w:szCs w:val="26"/>
          <w:highlight w:val="none"/>
        </w:rPr>
        <w:t>1.6保修期：自验收合格日起整机（包括配件）开始计算保修期，所有产品质保期为贰年（含贰年无线物联网流量费）。终身需维修。在设备质保期内，维护维保所产生的费用均由中标方承担，更换配件时，中标方需提供正品的、全新的配件，如果发现更换的配件是伪劣次产品、非全新的配件，校方有权另请商家，所需费用由中标方支付。</w:t>
      </w:r>
    </w:p>
    <w:p w14:paraId="29DF671C">
      <w:pPr>
        <w:adjustRightInd/>
        <w:snapToGrid/>
        <w:spacing w:before="150" w:after="0" w:line="480" w:lineRule="atLeast"/>
        <w:ind w:firstLine="480"/>
        <w:jc w:val="both"/>
        <w:rPr>
          <w:rFonts w:hint="eastAsia" w:ascii="宋体" w:hAnsi="宋体" w:eastAsia="宋体" w:cs="宋体"/>
          <w:sz w:val="26"/>
          <w:szCs w:val="26"/>
          <w:highlight w:val="none"/>
        </w:rPr>
      </w:pPr>
      <w:r>
        <w:rPr>
          <w:rFonts w:hint="eastAsia" w:ascii="宋体" w:hAnsi="宋体" w:eastAsia="宋体" w:cs="宋体"/>
          <w:sz w:val="26"/>
          <w:szCs w:val="26"/>
          <w:highlight w:val="none"/>
        </w:rPr>
        <w:t>1.7保修点：国内保修点可提供部件更换，原厂专业维修。</w:t>
      </w:r>
    </w:p>
    <w:p w14:paraId="7C203404">
      <w:pPr>
        <w:adjustRightInd/>
        <w:snapToGrid/>
        <w:spacing w:before="150" w:after="0" w:line="480" w:lineRule="atLeast"/>
        <w:ind w:firstLine="480"/>
        <w:jc w:val="both"/>
        <w:rPr>
          <w:rFonts w:hint="eastAsia" w:ascii="宋体" w:hAnsi="宋体" w:eastAsia="宋体" w:cs="宋体"/>
          <w:sz w:val="26"/>
          <w:szCs w:val="26"/>
          <w:highlight w:val="none"/>
        </w:rPr>
      </w:pPr>
      <w:r>
        <w:rPr>
          <w:rFonts w:hint="eastAsia" w:ascii="宋体" w:hAnsi="宋体" w:eastAsia="宋体" w:cs="宋体"/>
          <w:sz w:val="26"/>
          <w:szCs w:val="26"/>
          <w:highlight w:val="none"/>
        </w:rPr>
        <w:t>1.8中标人需提供包装完好、全新的货物，所供货物的出厂日期和供货日期之差不得大于6个月。</w:t>
      </w:r>
    </w:p>
    <w:p w14:paraId="5A99FA13">
      <w:pPr>
        <w:adjustRightInd/>
        <w:snapToGrid/>
        <w:spacing w:before="150" w:after="0" w:line="480" w:lineRule="atLeast"/>
        <w:ind w:firstLine="480"/>
        <w:jc w:val="both"/>
        <w:rPr>
          <w:rFonts w:hint="eastAsia" w:ascii="宋体" w:hAnsi="宋体" w:eastAsia="宋体" w:cs="宋体"/>
          <w:sz w:val="26"/>
          <w:szCs w:val="26"/>
          <w:highlight w:val="none"/>
        </w:rPr>
      </w:pPr>
      <w:r>
        <w:rPr>
          <w:rFonts w:hint="eastAsia" w:ascii="宋体" w:hAnsi="宋体" w:eastAsia="宋体" w:cs="宋体"/>
          <w:sz w:val="26"/>
          <w:szCs w:val="26"/>
          <w:highlight w:val="none"/>
        </w:rPr>
        <w:t>1.9证件要求：若为特种仪器设备需由中标商办理相关部门准予使用的证件（如：压力容器、电梯需办理特种设备使用登记证等），验收时须提供完整证件。办理证件所需费用计入投标总价中，采购方仅提供必要的协助。</w:t>
      </w:r>
    </w:p>
    <w:p w14:paraId="13813DCD">
      <w:pPr>
        <w:adjustRightInd/>
        <w:snapToGrid/>
        <w:spacing w:before="150" w:after="0" w:line="480" w:lineRule="atLeast"/>
        <w:jc w:val="both"/>
        <w:rPr>
          <w:rFonts w:hint="eastAsia" w:ascii="宋体" w:hAnsi="宋体" w:eastAsia="宋体" w:cs="宋体"/>
          <w:b/>
          <w:bCs/>
          <w:sz w:val="26"/>
          <w:highlight w:val="none"/>
        </w:rPr>
      </w:pPr>
      <w:r>
        <w:rPr>
          <w:rFonts w:hint="eastAsia" w:ascii="宋体" w:hAnsi="宋体" w:eastAsia="宋体" w:cs="宋体"/>
          <w:b/>
          <w:bCs/>
          <w:sz w:val="26"/>
          <w:highlight w:val="none"/>
        </w:rPr>
        <w:t>2、监管平台服务要求</w:t>
      </w:r>
    </w:p>
    <w:p w14:paraId="00829C2B">
      <w:pPr>
        <w:adjustRightInd/>
        <w:snapToGrid/>
        <w:spacing w:before="150" w:after="0" w:line="480" w:lineRule="atLeast"/>
        <w:ind w:firstLine="480"/>
        <w:jc w:val="both"/>
        <w:rPr>
          <w:rFonts w:hint="eastAsia" w:ascii="宋体" w:hAnsi="宋体" w:eastAsia="宋体" w:cs="宋体"/>
          <w:sz w:val="26"/>
          <w:szCs w:val="26"/>
          <w:highlight w:val="none"/>
        </w:rPr>
      </w:pPr>
      <w:r>
        <w:rPr>
          <w:rFonts w:hint="eastAsia" w:ascii="宋体" w:hAnsi="宋体" w:eastAsia="宋体" w:cs="宋体"/>
          <w:sz w:val="26"/>
          <w:szCs w:val="26"/>
          <w:highlight w:val="none"/>
        </w:rPr>
        <w:t>中标人需提供一个监管平台，服务期贰年，监管平台需要满足以下条件：</w:t>
      </w:r>
    </w:p>
    <w:p w14:paraId="5106D581">
      <w:pPr>
        <w:adjustRightInd/>
        <w:snapToGrid/>
        <w:spacing w:before="150" w:after="0" w:line="480" w:lineRule="atLeast"/>
        <w:ind w:firstLine="480"/>
        <w:jc w:val="both"/>
        <w:rPr>
          <w:rFonts w:hint="eastAsia" w:ascii="宋体" w:hAnsi="宋体" w:eastAsia="宋体" w:cs="宋体"/>
          <w:sz w:val="26"/>
          <w:szCs w:val="26"/>
          <w:highlight w:val="none"/>
        </w:rPr>
      </w:pPr>
      <w:r>
        <w:rPr>
          <w:rFonts w:hint="eastAsia" w:ascii="宋体" w:hAnsi="宋体" w:eastAsia="宋体" w:cs="宋体"/>
          <w:sz w:val="26"/>
          <w:szCs w:val="26"/>
          <w:highlight w:val="none"/>
        </w:rPr>
        <w:t>2.1可以通过PC端网页平台或者app登录平台查看监控视频；</w:t>
      </w:r>
    </w:p>
    <w:p w14:paraId="723E2600">
      <w:pPr>
        <w:adjustRightInd/>
        <w:snapToGrid/>
        <w:spacing w:before="150" w:after="0" w:line="480" w:lineRule="atLeast"/>
        <w:ind w:firstLine="480"/>
        <w:jc w:val="both"/>
        <w:rPr>
          <w:rFonts w:hint="eastAsia" w:ascii="宋体" w:hAnsi="宋体" w:eastAsia="宋体" w:cs="宋体"/>
          <w:sz w:val="26"/>
          <w:szCs w:val="26"/>
          <w:highlight w:val="none"/>
        </w:rPr>
      </w:pPr>
      <w:r>
        <w:rPr>
          <w:rFonts w:hint="eastAsia" w:ascii="宋体" w:hAnsi="宋体" w:eastAsia="宋体" w:cs="宋体"/>
          <w:sz w:val="26"/>
          <w:szCs w:val="26"/>
          <w:highlight w:val="none"/>
        </w:rPr>
        <w:t>2.2支持电梯运行数据记录，支持运行统计；</w:t>
      </w:r>
    </w:p>
    <w:p w14:paraId="6FF3C36B">
      <w:pPr>
        <w:adjustRightInd/>
        <w:snapToGrid/>
        <w:spacing w:before="150" w:after="0" w:line="480" w:lineRule="atLeast"/>
        <w:ind w:firstLine="480"/>
        <w:jc w:val="both"/>
        <w:rPr>
          <w:rFonts w:hint="eastAsia" w:ascii="宋体" w:hAnsi="宋体" w:eastAsia="宋体" w:cs="宋体"/>
          <w:sz w:val="26"/>
          <w:szCs w:val="26"/>
          <w:highlight w:val="none"/>
        </w:rPr>
      </w:pPr>
      <w:r>
        <w:rPr>
          <w:rFonts w:hint="eastAsia" w:ascii="宋体" w:hAnsi="宋体" w:eastAsia="宋体" w:cs="宋体"/>
          <w:sz w:val="26"/>
          <w:szCs w:val="26"/>
          <w:highlight w:val="none"/>
        </w:rPr>
        <w:t>2.3支持电梯运行方向判断，支持楼层判断，支持电梯运行速度监测；</w:t>
      </w:r>
    </w:p>
    <w:p w14:paraId="6B9C4B85">
      <w:pPr>
        <w:adjustRightInd/>
        <w:snapToGrid/>
        <w:spacing w:before="150" w:after="0" w:line="480" w:lineRule="atLeast"/>
        <w:ind w:firstLine="480"/>
        <w:jc w:val="both"/>
        <w:rPr>
          <w:rFonts w:hint="eastAsia" w:ascii="宋体" w:hAnsi="宋体" w:eastAsia="宋体" w:cs="宋体"/>
          <w:sz w:val="26"/>
          <w:szCs w:val="26"/>
          <w:highlight w:val="none"/>
        </w:rPr>
      </w:pPr>
      <w:r>
        <w:rPr>
          <w:rFonts w:hint="eastAsia" w:ascii="宋体" w:hAnsi="宋体" w:eastAsia="宋体" w:cs="宋体"/>
          <w:sz w:val="26"/>
          <w:szCs w:val="26"/>
          <w:highlight w:val="none"/>
        </w:rPr>
        <w:t>2.4支持轿厢门关闭监测，支持轿厢内是否有人员监测，支持设备累计运行次数监测；</w:t>
      </w:r>
    </w:p>
    <w:p w14:paraId="3D7658D8">
      <w:pPr>
        <w:adjustRightInd/>
        <w:snapToGrid/>
        <w:spacing w:before="150" w:after="0" w:line="480" w:lineRule="atLeast"/>
        <w:ind w:firstLine="480"/>
        <w:jc w:val="both"/>
        <w:rPr>
          <w:rFonts w:hint="eastAsia" w:ascii="宋体" w:hAnsi="宋体" w:eastAsia="宋体" w:cs="宋体"/>
          <w:sz w:val="26"/>
          <w:szCs w:val="26"/>
          <w:highlight w:val="none"/>
        </w:rPr>
      </w:pPr>
      <w:r>
        <w:rPr>
          <w:rFonts w:hint="eastAsia" w:ascii="宋体" w:hAnsi="宋体" w:eastAsia="宋体" w:cs="宋体"/>
          <w:sz w:val="26"/>
          <w:szCs w:val="26"/>
          <w:highlight w:val="none"/>
        </w:rPr>
        <w:t>2.5支持告警信息管理，支持故障状态显示；</w:t>
      </w:r>
    </w:p>
    <w:p w14:paraId="434B110A">
      <w:pPr>
        <w:adjustRightInd/>
        <w:snapToGrid/>
        <w:spacing w:before="150" w:after="0" w:line="480" w:lineRule="atLeast"/>
        <w:ind w:firstLine="480"/>
        <w:jc w:val="both"/>
        <w:rPr>
          <w:rFonts w:hint="eastAsia" w:ascii="宋体" w:hAnsi="宋体" w:eastAsia="宋体" w:cs="宋体"/>
          <w:sz w:val="26"/>
          <w:szCs w:val="26"/>
          <w:highlight w:val="none"/>
        </w:rPr>
      </w:pPr>
      <w:r>
        <w:rPr>
          <w:rFonts w:hint="eastAsia" w:ascii="宋体" w:hAnsi="宋体" w:eastAsia="宋体" w:cs="宋体"/>
          <w:sz w:val="26"/>
          <w:szCs w:val="26"/>
          <w:highlight w:val="none"/>
        </w:rPr>
        <w:t>2.6具有电梯远程监测系统功能评价证书（提供福建省相关部门认可的有效检测报告复印件）；</w:t>
      </w:r>
    </w:p>
    <w:p w14:paraId="04CBD8A8">
      <w:pPr>
        <w:adjustRightInd/>
        <w:snapToGrid/>
        <w:spacing w:before="150" w:after="0" w:line="480" w:lineRule="atLeast"/>
        <w:ind w:firstLine="480"/>
        <w:jc w:val="both"/>
        <w:rPr>
          <w:rFonts w:hint="eastAsia" w:ascii="宋体" w:hAnsi="宋体" w:eastAsia="宋体" w:cs="宋体"/>
          <w:sz w:val="26"/>
          <w:szCs w:val="26"/>
          <w:highlight w:val="none"/>
        </w:rPr>
      </w:pPr>
      <w:r>
        <w:rPr>
          <w:rFonts w:hint="eastAsia" w:ascii="宋体" w:hAnsi="宋体" w:eastAsia="宋体" w:cs="宋体"/>
          <w:sz w:val="26"/>
          <w:szCs w:val="26"/>
          <w:highlight w:val="none"/>
        </w:rPr>
        <w:t>2.7需接入福州市市场监督管理局公共服务平台（提供接入证明材料复印件）；</w:t>
      </w:r>
    </w:p>
    <w:p w14:paraId="29738C1E">
      <w:pPr>
        <w:adjustRightInd/>
        <w:snapToGrid/>
        <w:spacing w:before="150" w:after="0" w:line="480" w:lineRule="atLeast"/>
        <w:ind w:firstLine="480"/>
        <w:jc w:val="both"/>
        <w:rPr>
          <w:rFonts w:hint="eastAsia" w:ascii="宋体" w:hAnsi="宋体" w:eastAsia="宋体" w:cs="宋体"/>
          <w:sz w:val="26"/>
          <w:szCs w:val="26"/>
          <w:highlight w:val="none"/>
        </w:rPr>
      </w:pPr>
      <w:r>
        <w:rPr>
          <w:rFonts w:hint="eastAsia" w:ascii="宋体" w:hAnsi="宋体" w:eastAsia="宋体" w:cs="宋体"/>
          <w:sz w:val="26"/>
          <w:szCs w:val="26"/>
          <w:highlight w:val="none"/>
        </w:rPr>
        <w:t>2.8闽市监办〔2023〕12 号文件相关要求。</w:t>
      </w:r>
    </w:p>
    <w:p w14:paraId="449AD034">
      <w:pPr>
        <w:adjustRightInd/>
        <w:snapToGrid/>
        <w:spacing w:before="150" w:after="0" w:line="480" w:lineRule="atLeast"/>
        <w:jc w:val="both"/>
        <w:rPr>
          <w:rFonts w:hint="eastAsia" w:ascii="宋体" w:hAnsi="宋体" w:eastAsia="宋体" w:cs="宋体"/>
          <w:b/>
          <w:bCs/>
          <w:sz w:val="26"/>
          <w:highlight w:val="none"/>
        </w:rPr>
      </w:pPr>
      <w:r>
        <w:rPr>
          <w:rFonts w:hint="eastAsia" w:ascii="宋体" w:hAnsi="宋体" w:eastAsia="宋体" w:cs="宋体"/>
          <w:b/>
          <w:bCs/>
          <w:sz w:val="26"/>
          <w:highlight w:val="none"/>
        </w:rPr>
        <w:t>3、供货和安装时间</w:t>
      </w:r>
    </w:p>
    <w:p w14:paraId="2B2B482A">
      <w:pPr>
        <w:adjustRightInd/>
        <w:snapToGrid/>
        <w:spacing w:before="150" w:after="0" w:line="480" w:lineRule="atLeast"/>
        <w:ind w:firstLine="480"/>
        <w:jc w:val="both"/>
        <w:rPr>
          <w:rFonts w:hint="eastAsia" w:ascii="宋体" w:hAnsi="宋体" w:eastAsia="宋体" w:cs="宋体"/>
          <w:sz w:val="26"/>
          <w:szCs w:val="26"/>
          <w:highlight w:val="none"/>
        </w:rPr>
      </w:pPr>
      <w:r>
        <w:rPr>
          <w:rFonts w:hint="eastAsia" w:ascii="宋体" w:hAnsi="宋体" w:eastAsia="宋体" w:cs="宋体"/>
          <w:sz w:val="26"/>
          <w:szCs w:val="26"/>
          <w:highlight w:val="none"/>
        </w:rPr>
        <w:t>在合同生效后15日内供货完成，合同生效后30日内安装完成。</w:t>
      </w:r>
    </w:p>
    <w:p w14:paraId="0FD4C395">
      <w:pPr>
        <w:adjustRightInd/>
        <w:snapToGrid/>
        <w:spacing w:before="150" w:after="0" w:line="480" w:lineRule="atLeast"/>
        <w:jc w:val="both"/>
        <w:rPr>
          <w:rFonts w:hint="eastAsia" w:ascii="宋体" w:hAnsi="宋体" w:eastAsia="宋体" w:cs="宋体"/>
          <w:b/>
          <w:bCs/>
          <w:sz w:val="26"/>
          <w:highlight w:val="none"/>
        </w:rPr>
      </w:pPr>
      <w:r>
        <w:rPr>
          <w:rFonts w:hint="eastAsia" w:ascii="宋体" w:hAnsi="宋体" w:eastAsia="宋体" w:cs="宋体"/>
          <w:b/>
          <w:bCs/>
          <w:sz w:val="26"/>
          <w:highlight w:val="none"/>
        </w:rPr>
        <w:t>4、交货详细地点</w:t>
      </w:r>
    </w:p>
    <w:p w14:paraId="729615D0">
      <w:pPr>
        <w:adjustRightInd/>
        <w:snapToGrid/>
        <w:spacing w:before="150" w:after="0" w:line="480" w:lineRule="atLeast"/>
        <w:ind w:firstLine="480"/>
        <w:jc w:val="both"/>
        <w:rPr>
          <w:rFonts w:hint="eastAsia" w:ascii="宋体" w:hAnsi="宋体" w:eastAsia="宋体" w:cs="宋体"/>
          <w:sz w:val="26"/>
          <w:szCs w:val="26"/>
          <w:highlight w:val="none"/>
        </w:rPr>
      </w:pPr>
      <w:r>
        <w:rPr>
          <w:rFonts w:hint="eastAsia" w:ascii="宋体" w:hAnsi="宋体" w:eastAsia="宋体" w:cs="宋体"/>
          <w:sz w:val="26"/>
          <w:szCs w:val="26"/>
          <w:highlight w:val="none"/>
        </w:rPr>
        <w:t>采购人指定地点。需要的31部电梯的具体位置见下表</w:t>
      </w: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6433B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65984795">
            <w:pPr>
              <w:pStyle w:val="27"/>
              <w:widowControl w:val="0"/>
              <w:jc w:val="both"/>
              <w:rPr>
                <w:rFonts w:ascii="宋体" w:hAnsi="宋体" w:cs="宋体"/>
                <w:bCs/>
                <w:sz w:val="26"/>
                <w:szCs w:val="26"/>
                <w:highlight w:val="none"/>
              </w:rPr>
            </w:pPr>
            <w:r>
              <w:rPr>
                <w:rFonts w:ascii="宋体" w:hAnsi="宋体" w:cs="宋体"/>
                <w:bCs/>
                <w:sz w:val="26"/>
                <w:szCs w:val="26"/>
                <w:highlight w:val="none"/>
              </w:rPr>
              <w:t>序号</w:t>
            </w:r>
          </w:p>
        </w:tc>
        <w:tc>
          <w:tcPr>
            <w:tcW w:w="2841" w:type="dxa"/>
            <w:vAlign w:val="top"/>
          </w:tcPr>
          <w:p w14:paraId="1DD47349">
            <w:pPr>
              <w:pStyle w:val="27"/>
              <w:widowControl w:val="0"/>
              <w:jc w:val="both"/>
              <w:rPr>
                <w:rFonts w:ascii="宋体" w:hAnsi="宋体" w:cs="宋体"/>
                <w:bCs/>
                <w:sz w:val="26"/>
                <w:szCs w:val="26"/>
                <w:highlight w:val="none"/>
              </w:rPr>
            </w:pPr>
            <w:r>
              <w:rPr>
                <w:rFonts w:ascii="宋体" w:hAnsi="宋体" w:cs="宋体"/>
                <w:bCs/>
                <w:sz w:val="26"/>
                <w:szCs w:val="26"/>
                <w:highlight w:val="none"/>
              </w:rPr>
              <w:t>位置</w:t>
            </w:r>
          </w:p>
        </w:tc>
        <w:tc>
          <w:tcPr>
            <w:tcW w:w="2841" w:type="dxa"/>
            <w:vAlign w:val="top"/>
          </w:tcPr>
          <w:p w14:paraId="15DD5A74">
            <w:pPr>
              <w:pStyle w:val="27"/>
              <w:widowControl w:val="0"/>
              <w:jc w:val="both"/>
              <w:rPr>
                <w:rFonts w:ascii="宋体" w:hAnsi="宋体" w:cs="宋体"/>
                <w:bCs/>
                <w:sz w:val="26"/>
                <w:szCs w:val="26"/>
                <w:highlight w:val="none"/>
              </w:rPr>
            </w:pPr>
            <w:r>
              <w:rPr>
                <w:rFonts w:ascii="宋体" w:hAnsi="宋体" w:cs="宋体"/>
                <w:bCs/>
                <w:sz w:val="26"/>
                <w:szCs w:val="26"/>
                <w:highlight w:val="none"/>
              </w:rPr>
              <w:t>数量</w:t>
            </w:r>
          </w:p>
        </w:tc>
      </w:tr>
      <w:tr w14:paraId="4E0F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3932E0CC">
            <w:pPr>
              <w:pStyle w:val="27"/>
              <w:widowControl w:val="0"/>
              <w:jc w:val="both"/>
              <w:rPr>
                <w:rFonts w:ascii="宋体" w:hAnsi="宋体" w:cs="宋体"/>
                <w:bCs/>
                <w:sz w:val="26"/>
                <w:szCs w:val="26"/>
                <w:highlight w:val="none"/>
              </w:rPr>
            </w:pPr>
            <w:r>
              <w:rPr>
                <w:rFonts w:ascii="宋体" w:hAnsi="宋体" w:cs="宋体"/>
                <w:bCs/>
                <w:sz w:val="26"/>
                <w:szCs w:val="26"/>
                <w:highlight w:val="none"/>
              </w:rPr>
              <w:t>1</w:t>
            </w:r>
          </w:p>
        </w:tc>
        <w:tc>
          <w:tcPr>
            <w:tcW w:w="2841" w:type="dxa"/>
            <w:vAlign w:val="top"/>
          </w:tcPr>
          <w:p w14:paraId="70DC2292">
            <w:pPr>
              <w:pStyle w:val="27"/>
              <w:widowControl w:val="0"/>
              <w:jc w:val="both"/>
              <w:rPr>
                <w:rFonts w:ascii="宋体" w:hAnsi="宋体" w:cs="宋体"/>
                <w:bCs/>
                <w:sz w:val="26"/>
                <w:szCs w:val="26"/>
                <w:highlight w:val="none"/>
              </w:rPr>
            </w:pPr>
            <w:r>
              <w:rPr>
                <w:rFonts w:ascii="宋体" w:hAnsi="宋体" w:cs="宋体"/>
                <w:bCs/>
                <w:sz w:val="26"/>
                <w:szCs w:val="26"/>
                <w:highlight w:val="none"/>
              </w:rPr>
              <w:t>外科楼</w:t>
            </w:r>
          </w:p>
        </w:tc>
        <w:tc>
          <w:tcPr>
            <w:tcW w:w="2841" w:type="dxa"/>
            <w:vAlign w:val="top"/>
          </w:tcPr>
          <w:p w14:paraId="25342431">
            <w:pPr>
              <w:pStyle w:val="27"/>
              <w:widowControl w:val="0"/>
              <w:jc w:val="both"/>
              <w:rPr>
                <w:rFonts w:ascii="宋体" w:hAnsi="宋体" w:cs="宋体"/>
                <w:bCs/>
                <w:sz w:val="26"/>
                <w:szCs w:val="26"/>
                <w:highlight w:val="none"/>
              </w:rPr>
            </w:pPr>
            <w:r>
              <w:rPr>
                <w:rFonts w:ascii="宋体" w:hAnsi="宋体" w:cs="宋体"/>
                <w:bCs/>
                <w:sz w:val="26"/>
                <w:szCs w:val="26"/>
                <w:highlight w:val="none"/>
              </w:rPr>
              <w:t>18</w:t>
            </w:r>
          </w:p>
        </w:tc>
      </w:tr>
      <w:tr w14:paraId="01C26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5D3BE9A3">
            <w:pPr>
              <w:pStyle w:val="27"/>
              <w:widowControl w:val="0"/>
              <w:jc w:val="both"/>
              <w:rPr>
                <w:rFonts w:ascii="宋体" w:hAnsi="宋体" w:cs="宋体"/>
                <w:bCs/>
                <w:sz w:val="26"/>
                <w:szCs w:val="26"/>
                <w:highlight w:val="none"/>
              </w:rPr>
            </w:pPr>
            <w:r>
              <w:rPr>
                <w:rFonts w:ascii="宋体" w:hAnsi="宋体" w:cs="宋体"/>
                <w:bCs/>
                <w:sz w:val="26"/>
                <w:szCs w:val="26"/>
                <w:highlight w:val="none"/>
              </w:rPr>
              <w:t>2</w:t>
            </w:r>
          </w:p>
        </w:tc>
        <w:tc>
          <w:tcPr>
            <w:tcW w:w="2841" w:type="dxa"/>
            <w:vAlign w:val="top"/>
          </w:tcPr>
          <w:p w14:paraId="2093C7B7">
            <w:pPr>
              <w:pStyle w:val="27"/>
              <w:widowControl w:val="0"/>
              <w:jc w:val="both"/>
              <w:rPr>
                <w:rFonts w:ascii="宋体" w:hAnsi="宋体" w:cs="宋体"/>
                <w:bCs/>
                <w:sz w:val="26"/>
                <w:szCs w:val="26"/>
                <w:highlight w:val="none"/>
              </w:rPr>
            </w:pPr>
            <w:r>
              <w:rPr>
                <w:rFonts w:ascii="宋体" w:hAnsi="宋体" w:cs="宋体"/>
                <w:bCs/>
                <w:sz w:val="26"/>
                <w:szCs w:val="26"/>
                <w:highlight w:val="none"/>
              </w:rPr>
              <w:t>内科楼</w:t>
            </w:r>
          </w:p>
        </w:tc>
        <w:tc>
          <w:tcPr>
            <w:tcW w:w="2841" w:type="dxa"/>
            <w:vAlign w:val="top"/>
          </w:tcPr>
          <w:p w14:paraId="6CDA4C0D">
            <w:pPr>
              <w:pStyle w:val="27"/>
              <w:widowControl w:val="0"/>
              <w:jc w:val="both"/>
              <w:rPr>
                <w:rFonts w:ascii="宋体" w:hAnsi="宋体" w:cs="宋体"/>
                <w:bCs/>
                <w:sz w:val="26"/>
                <w:szCs w:val="26"/>
                <w:highlight w:val="none"/>
              </w:rPr>
            </w:pPr>
            <w:r>
              <w:rPr>
                <w:rFonts w:ascii="宋体" w:hAnsi="宋体" w:cs="宋体"/>
                <w:bCs/>
                <w:sz w:val="26"/>
                <w:szCs w:val="26"/>
                <w:highlight w:val="none"/>
              </w:rPr>
              <w:t>4</w:t>
            </w:r>
          </w:p>
        </w:tc>
      </w:tr>
      <w:tr w14:paraId="723DE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21834CF9">
            <w:pPr>
              <w:pStyle w:val="27"/>
              <w:widowControl w:val="0"/>
              <w:jc w:val="both"/>
              <w:rPr>
                <w:rFonts w:ascii="宋体" w:hAnsi="宋体" w:cs="宋体"/>
                <w:bCs/>
                <w:sz w:val="26"/>
                <w:szCs w:val="26"/>
                <w:highlight w:val="none"/>
              </w:rPr>
            </w:pPr>
            <w:r>
              <w:rPr>
                <w:rFonts w:ascii="宋体" w:hAnsi="宋体" w:cs="宋体"/>
                <w:bCs/>
                <w:sz w:val="26"/>
                <w:szCs w:val="26"/>
                <w:highlight w:val="none"/>
              </w:rPr>
              <w:t>3</w:t>
            </w:r>
          </w:p>
        </w:tc>
        <w:tc>
          <w:tcPr>
            <w:tcW w:w="2841" w:type="dxa"/>
            <w:vAlign w:val="top"/>
          </w:tcPr>
          <w:p w14:paraId="711DE5BC">
            <w:pPr>
              <w:pStyle w:val="27"/>
              <w:widowControl w:val="0"/>
              <w:jc w:val="both"/>
              <w:rPr>
                <w:rFonts w:ascii="宋体" w:hAnsi="宋体" w:cs="宋体"/>
                <w:bCs/>
                <w:sz w:val="26"/>
                <w:szCs w:val="26"/>
                <w:highlight w:val="none"/>
              </w:rPr>
            </w:pPr>
            <w:r>
              <w:rPr>
                <w:rFonts w:ascii="宋体" w:hAnsi="宋体" w:cs="宋体"/>
                <w:bCs/>
                <w:sz w:val="26"/>
                <w:szCs w:val="26"/>
                <w:highlight w:val="none"/>
              </w:rPr>
              <w:t>教学楼</w:t>
            </w:r>
          </w:p>
        </w:tc>
        <w:tc>
          <w:tcPr>
            <w:tcW w:w="2841" w:type="dxa"/>
            <w:vAlign w:val="top"/>
          </w:tcPr>
          <w:p w14:paraId="61BE4879">
            <w:pPr>
              <w:pStyle w:val="27"/>
              <w:widowControl w:val="0"/>
              <w:jc w:val="both"/>
              <w:rPr>
                <w:rFonts w:ascii="宋体" w:hAnsi="宋体" w:cs="宋体"/>
                <w:bCs/>
                <w:sz w:val="26"/>
                <w:szCs w:val="26"/>
                <w:highlight w:val="none"/>
              </w:rPr>
            </w:pPr>
            <w:r>
              <w:rPr>
                <w:rFonts w:ascii="宋体" w:hAnsi="宋体" w:cs="宋体"/>
                <w:bCs/>
                <w:sz w:val="26"/>
                <w:szCs w:val="26"/>
                <w:highlight w:val="none"/>
              </w:rPr>
              <w:t>2</w:t>
            </w:r>
          </w:p>
        </w:tc>
      </w:tr>
      <w:tr w14:paraId="10E3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7353BE05">
            <w:pPr>
              <w:pStyle w:val="27"/>
              <w:widowControl w:val="0"/>
              <w:jc w:val="both"/>
              <w:rPr>
                <w:rFonts w:ascii="宋体" w:hAnsi="宋体" w:cs="宋体"/>
                <w:bCs/>
                <w:sz w:val="26"/>
                <w:szCs w:val="26"/>
                <w:highlight w:val="none"/>
              </w:rPr>
            </w:pPr>
            <w:r>
              <w:rPr>
                <w:rFonts w:ascii="宋体" w:hAnsi="宋体" w:cs="宋体"/>
                <w:bCs/>
                <w:sz w:val="26"/>
                <w:szCs w:val="26"/>
                <w:highlight w:val="none"/>
              </w:rPr>
              <w:t>4</w:t>
            </w:r>
          </w:p>
        </w:tc>
        <w:tc>
          <w:tcPr>
            <w:tcW w:w="2841" w:type="dxa"/>
            <w:vAlign w:val="top"/>
          </w:tcPr>
          <w:p w14:paraId="187289AA">
            <w:pPr>
              <w:pStyle w:val="27"/>
              <w:widowControl w:val="0"/>
              <w:jc w:val="both"/>
              <w:rPr>
                <w:rFonts w:ascii="宋体" w:hAnsi="宋体" w:cs="宋体"/>
                <w:bCs/>
                <w:sz w:val="26"/>
                <w:szCs w:val="26"/>
                <w:highlight w:val="none"/>
              </w:rPr>
            </w:pPr>
            <w:r>
              <w:rPr>
                <w:rFonts w:ascii="宋体" w:hAnsi="宋体" w:cs="宋体"/>
                <w:bCs/>
                <w:sz w:val="26"/>
                <w:szCs w:val="26"/>
                <w:highlight w:val="none"/>
              </w:rPr>
              <w:t>门诊楼</w:t>
            </w:r>
          </w:p>
        </w:tc>
        <w:tc>
          <w:tcPr>
            <w:tcW w:w="2841" w:type="dxa"/>
            <w:vAlign w:val="top"/>
          </w:tcPr>
          <w:p w14:paraId="77A62F70">
            <w:pPr>
              <w:pStyle w:val="27"/>
              <w:widowControl w:val="0"/>
              <w:jc w:val="both"/>
              <w:rPr>
                <w:rFonts w:ascii="宋体" w:hAnsi="宋体" w:cs="宋体"/>
                <w:bCs/>
                <w:sz w:val="26"/>
                <w:szCs w:val="26"/>
                <w:highlight w:val="none"/>
              </w:rPr>
            </w:pPr>
            <w:r>
              <w:rPr>
                <w:rFonts w:ascii="宋体" w:hAnsi="宋体" w:cs="宋体"/>
                <w:bCs/>
                <w:sz w:val="26"/>
                <w:szCs w:val="26"/>
                <w:highlight w:val="none"/>
              </w:rPr>
              <w:t>2</w:t>
            </w:r>
          </w:p>
        </w:tc>
      </w:tr>
      <w:tr w14:paraId="35DC3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2A77F154">
            <w:pPr>
              <w:pStyle w:val="27"/>
              <w:widowControl w:val="0"/>
              <w:jc w:val="both"/>
              <w:rPr>
                <w:rFonts w:ascii="宋体" w:hAnsi="宋体" w:cs="宋体"/>
                <w:bCs/>
                <w:sz w:val="26"/>
                <w:szCs w:val="26"/>
                <w:highlight w:val="none"/>
              </w:rPr>
            </w:pPr>
            <w:r>
              <w:rPr>
                <w:rFonts w:ascii="宋体" w:hAnsi="宋体" w:cs="宋体"/>
                <w:bCs/>
                <w:sz w:val="26"/>
                <w:szCs w:val="26"/>
                <w:highlight w:val="none"/>
              </w:rPr>
              <w:t>5</w:t>
            </w:r>
          </w:p>
        </w:tc>
        <w:tc>
          <w:tcPr>
            <w:tcW w:w="2841" w:type="dxa"/>
            <w:vAlign w:val="top"/>
          </w:tcPr>
          <w:p w14:paraId="55F12D38">
            <w:pPr>
              <w:pStyle w:val="27"/>
              <w:widowControl w:val="0"/>
              <w:jc w:val="both"/>
              <w:rPr>
                <w:rFonts w:ascii="宋体" w:hAnsi="宋体" w:cs="宋体"/>
                <w:bCs/>
                <w:sz w:val="26"/>
                <w:szCs w:val="26"/>
                <w:highlight w:val="none"/>
              </w:rPr>
            </w:pPr>
            <w:r>
              <w:rPr>
                <w:rFonts w:ascii="宋体" w:hAnsi="宋体" w:cs="宋体"/>
                <w:bCs/>
                <w:sz w:val="26"/>
                <w:szCs w:val="26"/>
                <w:highlight w:val="none"/>
              </w:rPr>
              <w:t>放疗楼</w:t>
            </w:r>
          </w:p>
        </w:tc>
        <w:tc>
          <w:tcPr>
            <w:tcW w:w="2841" w:type="dxa"/>
            <w:vAlign w:val="top"/>
          </w:tcPr>
          <w:p w14:paraId="42BBFA34">
            <w:pPr>
              <w:pStyle w:val="27"/>
              <w:widowControl w:val="0"/>
              <w:jc w:val="both"/>
              <w:rPr>
                <w:rFonts w:ascii="宋体" w:hAnsi="宋体" w:cs="宋体"/>
                <w:bCs/>
                <w:sz w:val="26"/>
                <w:szCs w:val="26"/>
                <w:highlight w:val="none"/>
              </w:rPr>
            </w:pPr>
            <w:r>
              <w:rPr>
                <w:rFonts w:ascii="宋体" w:hAnsi="宋体" w:cs="宋体"/>
                <w:bCs/>
                <w:sz w:val="26"/>
                <w:szCs w:val="26"/>
                <w:highlight w:val="none"/>
              </w:rPr>
              <w:t>1</w:t>
            </w:r>
          </w:p>
        </w:tc>
      </w:tr>
      <w:tr w14:paraId="1B781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3511F554">
            <w:pPr>
              <w:pStyle w:val="27"/>
              <w:widowControl w:val="0"/>
              <w:jc w:val="both"/>
              <w:rPr>
                <w:rFonts w:ascii="宋体" w:hAnsi="宋体" w:cs="宋体"/>
                <w:bCs/>
                <w:sz w:val="26"/>
                <w:szCs w:val="26"/>
                <w:highlight w:val="none"/>
              </w:rPr>
            </w:pPr>
            <w:r>
              <w:rPr>
                <w:rFonts w:ascii="宋体" w:hAnsi="宋体" w:cs="宋体"/>
                <w:bCs/>
                <w:sz w:val="26"/>
                <w:szCs w:val="26"/>
                <w:highlight w:val="none"/>
              </w:rPr>
              <w:t>6</w:t>
            </w:r>
          </w:p>
        </w:tc>
        <w:tc>
          <w:tcPr>
            <w:tcW w:w="2841" w:type="dxa"/>
            <w:vAlign w:val="top"/>
          </w:tcPr>
          <w:p w14:paraId="47C6EB44">
            <w:pPr>
              <w:pStyle w:val="27"/>
              <w:widowControl w:val="0"/>
              <w:jc w:val="both"/>
              <w:rPr>
                <w:rFonts w:ascii="宋体" w:hAnsi="宋体" w:cs="宋体"/>
                <w:bCs/>
                <w:sz w:val="26"/>
                <w:szCs w:val="26"/>
                <w:highlight w:val="none"/>
              </w:rPr>
            </w:pPr>
            <w:r>
              <w:rPr>
                <w:rFonts w:ascii="宋体" w:hAnsi="宋体" w:cs="宋体"/>
                <w:bCs/>
                <w:sz w:val="26"/>
                <w:szCs w:val="26"/>
                <w:highlight w:val="none"/>
              </w:rPr>
              <w:t>影像楼</w:t>
            </w:r>
          </w:p>
        </w:tc>
        <w:tc>
          <w:tcPr>
            <w:tcW w:w="2841" w:type="dxa"/>
            <w:vAlign w:val="top"/>
          </w:tcPr>
          <w:p w14:paraId="2D234F8D">
            <w:pPr>
              <w:pStyle w:val="27"/>
              <w:widowControl w:val="0"/>
              <w:jc w:val="both"/>
              <w:rPr>
                <w:rFonts w:ascii="宋体" w:hAnsi="宋体" w:cs="宋体"/>
                <w:bCs/>
                <w:sz w:val="26"/>
                <w:szCs w:val="26"/>
                <w:highlight w:val="none"/>
              </w:rPr>
            </w:pPr>
            <w:r>
              <w:rPr>
                <w:rFonts w:ascii="宋体" w:hAnsi="宋体" w:cs="宋体"/>
                <w:bCs/>
                <w:sz w:val="26"/>
                <w:szCs w:val="26"/>
                <w:highlight w:val="none"/>
              </w:rPr>
              <w:t>2</w:t>
            </w:r>
          </w:p>
        </w:tc>
      </w:tr>
      <w:tr w14:paraId="7120B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45DA4A07">
            <w:pPr>
              <w:pStyle w:val="27"/>
              <w:widowControl w:val="0"/>
              <w:jc w:val="both"/>
              <w:rPr>
                <w:rFonts w:ascii="宋体" w:hAnsi="宋体" w:cs="宋体"/>
                <w:bCs/>
                <w:sz w:val="26"/>
                <w:szCs w:val="26"/>
                <w:highlight w:val="none"/>
              </w:rPr>
            </w:pPr>
            <w:r>
              <w:rPr>
                <w:rFonts w:ascii="宋体" w:hAnsi="宋体" w:cs="宋体"/>
                <w:bCs/>
                <w:sz w:val="26"/>
                <w:szCs w:val="26"/>
                <w:highlight w:val="none"/>
              </w:rPr>
              <w:t>7</w:t>
            </w:r>
          </w:p>
        </w:tc>
        <w:tc>
          <w:tcPr>
            <w:tcW w:w="2841" w:type="dxa"/>
            <w:vAlign w:val="top"/>
          </w:tcPr>
          <w:p w14:paraId="4FB49BC1">
            <w:pPr>
              <w:pStyle w:val="27"/>
              <w:widowControl w:val="0"/>
              <w:jc w:val="both"/>
              <w:rPr>
                <w:rFonts w:ascii="宋体" w:hAnsi="宋体" w:cs="宋体"/>
                <w:bCs/>
                <w:sz w:val="26"/>
                <w:szCs w:val="26"/>
                <w:highlight w:val="none"/>
              </w:rPr>
            </w:pPr>
            <w:r>
              <w:rPr>
                <w:rFonts w:ascii="宋体" w:hAnsi="宋体" w:cs="宋体"/>
                <w:bCs/>
                <w:sz w:val="26"/>
                <w:szCs w:val="26"/>
                <w:highlight w:val="none"/>
              </w:rPr>
              <w:t>科研楼</w:t>
            </w:r>
          </w:p>
        </w:tc>
        <w:tc>
          <w:tcPr>
            <w:tcW w:w="2841" w:type="dxa"/>
            <w:vAlign w:val="top"/>
          </w:tcPr>
          <w:p w14:paraId="08042396">
            <w:pPr>
              <w:pStyle w:val="27"/>
              <w:widowControl w:val="0"/>
              <w:jc w:val="both"/>
              <w:rPr>
                <w:rFonts w:ascii="宋体" w:hAnsi="宋体" w:cs="宋体"/>
                <w:bCs/>
                <w:sz w:val="26"/>
                <w:szCs w:val="26"/>
                <w:highlight w:val="none"/>
              </w:rPr>
            </w:pPr>
            <w:r>
              <w:rPr>
                <w:rFonts w:ascii="宋体" w:hAnsi="宋体" w:cs="宋体"/>
                <w:bCs/>
                <w:sz w:val="26"/>
                <w:szCs w:val="26"/>
                <w:highlight w:val="none"/>
              </w:rPr>
              <w:t>2</w:t>
            </w:r>
          </w:p>
        </w:tc>
      </w:tr>
    </w:tbl>
    <w:p w14:paraId="1929173D">
      <w:pPr>
        <w:adjustRightInd/>
        <w:snapToGrid/>
        <w:spacing w:before="150" w:after="0" w:line="480" w:lineRule="atLeast"/>
        <w:jc w:val="both"/>
        <w:rPr>
          <w:rFonts w:hint="eastAsia" w:ascii="宋体" w:hAnsi="宋体" w:eastAsia="宋体" w:cs="宋体"/>
          <w:sz w:val="26"/>
          <w:szCs w:val="26"/>
          <w:highlight w:val="none"/>
        </w:rPr>
      </w:pPr>
    </w:p>
    <w:p w14:paraId="418C3851">
      <w:pPr>
        <w:adjustRightInd/>
        <w:snapToGrid/>
        <w:spacing w:before="150" w:after="0" w:line="480" w:lineRule="atLeast"/>
        <w:jc w:val="both"/>
        <w:rPr>
          <w:rFonts w:hint="eastAsia" w:ascii="宋体" w:hAnsi="宋体" w:eastAsia="宋体" w:cs="宋体"/>
          <w:b/>
          <w:bCs/>
          <w:sz w:val="26"/>
          <w:highlight w:val="none"/>
        </w:rPr>
      </w:pPr>
      <w:r>
        <w:rPr>
          <w:rFonts w:hint="eastAsia" w:ascii="宋体" w:hAnsi="宋体" w:eastAsia="宋体" w:cs="宋体"/>
          <w:b/>
          <w:bCs/>
          <w:sz w:val="26"/>
          <w:highlight w:val="none"/>
        </w:rPr>
        <w:t>5、报价方式、付款方式及验收要求</w:t>
      </w:r>
    </w:p>
    <w:p w14:paraId="6362ECBF">
      <w:pPr>
        <w:adjustRightInd/>
        <w:snapToGrid/>
        <w:spacing w:before="150" w:after="0" w:line="480" w:lineRule="atLeast"/>
        <w:ind w:firstLine="480"/>
        <w:jc w:val="both"/>
        <w:rPr>
          <w:rFonts w:hint="eastAsia" w:ascii="宋体" w:hAnsi="宋体" w:eastAsia="宋体" w:cs="宋体"/>
          <w:sz w:val="26"/>
          <w:szCs w:val="26"/>
          <w:highlight w:val="none"/>
        </w:rPr>
      </w:pPr>
      <w:r>
        <w:rPr>
          <w:rFonts w:hint="eastAsia" w:ascii="宋体" w:hAnsi="宋体" w:eastAsia="宋体" w:cs="宋体"/>
          <w:sz w:val="26"/>
          <w:szCs w:val="26"/>
          <w:highlight w:val="none"/>
        </w:rPr>
        <w:t xml:space="preserve">5.1报价方式： </w:t>
      </w:r>
    </w:p>
    <w:p w14:paraId="0806938E">
      <w:pPr>
        <w:adjustRightInd/>
        <w:snapToGrid/>
        <w:spacing w:before="150" w:after="0" w:line="480" w:lineRule="atLeast"/>
        <w:ind w:firstLine="480"/>
        <w:jc w:val="both"/>
        <w:rPr>
          <w:rFonts w:hint="eastAsia" w:ascii="宋体" w:hAnsi="宋体" w:eastAsia="宋体" w:cs="宋体"/>
          <w:sz w:val="26"/>
          <w:szCs w:val="26"/>
          <w:highlight w:val="none"/>
        </w:rPr>
      </w:pPr>
      <w:r>
        <w:rPr>
          <w:rFonts w:hint="eastAsia" w:ascii="宋体" w:hAnsi="宋体" w:eastAsia="宋体" w:cs="宋体"/>
          <w:sz w:val="26"/>
          <w:szCs w:val="26"/>
          <w:highlight w:val="none"/>
        </w:rPr>
        <w:t>（1）人民币报价。</w:t>
      </w:r>
    </w:p>
    <w:p w14:paraId="014D3040">
      <w:pPr>
        <w:adjustRightInd/>
        <w:snapToGrid/>
        <w:spacing w:before="150" w:after="0" w:line="480" w:lineRule="atLeast"/>
        <w:ind w:firstLine="480"/>
        <w:jc w:val="both"/>
        <w:rPr>
          <w:rFonts w:hint="eastAsia" w:ascii="宋体" w:hAnsi="宋体" w:eastAsia="宋体" w:cs="宋体"/>
          <w:sz w:val="26"/>
          <w:szCs w:val="26"/>
          <w:highlight w:val="none"/>
        </w:rPr>
      </w:pPr>
      <w:r>
        <w:rPr>
          <w:rFonts w:hint="eastAsia" w:ascii="宋体" w:hAnsi="宋体" w:eastAsia="宋体" w:cs="宋体"/>
          <w:sz w:val="26"/>
          <w:szCs w:val="26"/>
          <w:highlight w:val="none"/>
        </w:rPr>
        <w:t>（2）投标人应在投标文件《投标分项报价表》中明确列出配套各产品的分项报价。</w:t>
      </w:r>
    </w:p>
    <w:p w14:paraId="4AE47287">
      <w:pPr>
        <w:adjustRightInd/>
        <w:snapToGrid/>
        <w:spacing w:before="150" w:after="0" w:line="480" w:lineRule="atLeast"/>
        <w:ind w:firstLine="480"/>
        <w:jc w:val="both"/>
        <w:rPr>
          <w:rFonts w:hint="eastAsia" w:ascii="宋体" w:hAnsi="宋体" w:eastAsia="宋体" w:cs="宋体"/>
          <w:sz w:val="26"/>
          <w:szCs w:val="26"/>
          <w:highlight w:val="none"/>
        </w:rPr>
      </w:pPr>
      <w:r>
        <w:rPr>
          <w:rFonts w:hint="eastAsia" w:ascii="宋体" w:hAnsi="宋体" w:eastAsia="宋体" w:cs="宋体"/>
          <w:sz w:val="26"/>
          <w:szCs w:val="26"/>
          <w:highlight w:val="none"/>
        </w:rPr>
        <w:t>5.2投标报价需包含货物在采购人单位内的安装、搬运及货物就位的一切费用。</w:t>
      </w:r>
    </w:p>
    <w:p w14:paraId="6795940A">
      <w:pPr>
        <w:adjustRightInd/>
        <w:snapToGrid/>
        <w:spacing w:before="150" w:after="0" w:line="480" w:lineRule="atLeast"/>
        <w:ind w:firstLine="480"/>
        <w:jc w:val="both"/>
        <w:rPr>
          <w:rFonts w:hint="eastAsia" w:ascii="宋体" w:hAnsi="宋体" w:eastAsia="宋体" w:cs="宋体"/>
          <w:sz w:val="26"/>
          <w:szCs w:val="26"/>
          <w:highlight w:val="none"/>
        </w:rPr>
      </w:pPr>
      <w:r>
        <w:rPr>
          <w:rFonts w:hint="eastAsia" w:ascii="宋体" w:hAnsi="宋体" w:eastAsia="宋体" w:cs="宋体"/>
          <w:sz w:val="26"/>
          <w:szCs w:val="26"/>
          <w:highlight w:val="none"/>
        </w:rPr>
        <w:t>5.3付款方式：本项目收3%的合同金额作为履约保证金，其余款项在验收合格后，30个工作日内付清，履约保证金在服务期满后30个工作日无息归还。</w:t>
      </w:r>
    </w:p>
    <w:p w14:paraId="47FD01C1">
      <w:pPr>
        <w:adjustRightInd/>
        <w:snapToGrid/>
        <w:spacing w:before="150" w:after="0" w:line="480" w:lineRule="atLeast"/>
        <w:ind w:firstLine="480"/>
        <w:jc w:val="both"/>
        <w:rPr>
          <w:rFonts w:hint="eastAsia" w:ascii="宋体" w:hAnsi="宋体" w:eastAsia="宋体" w:cs="宋体"/>
          <w:sz w:val="26"/>
          <w:szCs w:val="26"/>
          <w:highlight w:val="none"/>
        </w:rPr>
      </w:pPr>
      <w:r>
        <w:rPr>
          <w:rFonts w:hint="eastAsia" w:ascii="宋体" w:hAnsi="宋体" w:eastAsia="宋体" w:cs="宋体"/>
          <w:sz w:val="26"/>
          <w:szCs w:val="26"/>
          <w:highlight w:val="none"/>
        </w:rPr>
        <w:t>5.4验收要求：中标人需提供包装完好、全新的货物，所供货物的出厂日期和供货日期之差不得大于6个月。所有货物按厂家产品验收标准(符合国家或行业或地方标准)、招标文件、投标文件等有关部分内容及样品（若有）进行验收，有可能做破坏性实验检查材料是否符合招标文件要求。具体如下：</w:t>
      </w:r>
    </w:p>
    <w:p w14:paraId="37F02ECB">
      <w:pPr>
        <w:adjustRightInd/>
        <w:snapToGrid/>
        <w:spacing w:before="150" w:after="0" w:line="480" w:lineRule="atLeast"/>
        <w:ind w:firstLine="480"/>
        <w:jc w:val="both"/>
        <w:rPr>
          <w:rFonts w:hint="eastAsia" w:ascii="宋体" w:hAnsi="宋体" w:eastAsia="宋体" w:cs="宋体"/>
          <w:sz w:val="26"/>
          <w:szCs w:val="26"/>
          <w:highlight w:val="none"/>
        </w:rPr>
      </w:pPr>
      <w:r>
        <w:rPr>
          <w:rFonts w:hint="eastAsia" w:ascii="宋体" w:hAnsi="宋体" w:eastAsia="宋体" w:cs="宋体"/>
          <w:sz w:val="26"/>
          <w:szCs w:val="26"/>
          <w:highlight w:val="none"/>
        </w:rPr>
        <w:t>（1）摄像头拍摄的图像画面能清晰显示在监控终端的显示器或其它显示设备上，图像画质符合技术参数。</w:t>
      </w:r>
    </w:p>
    <w:p w14:paraId="737DCBE7">
      <w:pPr>
        <w:adjustRightInd/>
        <w:snapToGrid/>
        <w:spacing w:before="150" w:after="0" w:line="480" w:lineRule="atLeast"/>
        <w:ind w:firstLine="480"/>
        <w:jc w:val="both"/>
        <w:rPr>
          <w:rFonts w:hint="eastAsia" w:ascii="宋体" w:hAnsi="宋体" w:eastAsia="宋体" w:cs="宋体"/>
          <w:sz w:val="26"/>
          <w:szCs w:val="26"/>
          <w:highlight w:val="none"/>
        </w:rPr>
      </w:pPr>
      <w:r>
        <w:rPr>
          <w:rFonts w:hint="eastAsia" w:ascii="宋体" w:hAnsi="宋体" w:eastAsia="宋体" w:cs="宋体"/>
          <w:sz w:val="26"/>
          <w:szCs w:val="26"/>
          <w:highlight w:val="none"/>
        </w:rPr>
        <w:t>（2）现场通过判断远程监测装置的采集方式和现场布置情况，查看标准数据接口是否符合要求，企业监测平台软件界面是否正确显示电梯运行实时数据，是否能够正确输出故障信息，并通过模拟故障随机抽查附件所列的部分信息进行验证。</w:t>
      </w:r>
    </w:p>
    <w:p w14:paraId="6D3195A2">
      <w:pPr>
        <w:adjustRightInd/>
        <w:snapToGrid/>
        <w:spacing w:before="150" w:after="0" w:line="480" w:lineRule="atLeast"/>
        <w:ind w:firstLine="480"/>
        <w:jc w:val="both"/>
        <w:rPr>
          <w:rFonts w:hint="eastAsia" w:ascii="宋体" w:hAnsi="宋体" w:eastAsia="宋体" w:cs="宋体"/>
          <w:sz w:val="26"/>
          <w:szCs w:val="26"/>
          <w:highlight w:val="none"/>
        </w:rPr>
      </w:pPr>
      <w:r>
        <w:rPr>
          <w:rFonts w:hint="eastAsia" w:ascii="宋体" w:hAnsi="宋体" w:eastAsia="宋体" w:cs="宋体"/>
          <w:sz w:val="26"/>
          <w:szCs w:val="26"/>
          <w:highlight w:val="none"/>
        </w:rPr>
        <w:t>（3）检查电梯远程监测相关数据是否已根据《福建省电梯安全管理条例》要求，接入指定的电梯公共服务平台。现场登录平台，查看电梯远程监测的相关数据是否有效接入。</w:t>
      </w:r>
    </w:p>
    <w:p w14:paraId="10D7605C">
      <w:pPr>
        <w:adjustRightInd/>
        <w:snapToGrid/>
        <w:spacing w:before="150" w:after="0" w:line="480" w:lineRule="atLeast"/>
        <w:ind w:firstLine="480"/>
        <w:jc w:val="both"/>
        <w:rPr>
          <w:rFonts w:hint="eastAsia" w:ascii="宋体" w:hAnsi="宋体" w:eastAsia="宋体" w:cs="宋体"/>
          <w:sz w:val="26"/>
          <w:szCs w:val="26"/>
          <w:highlight w:val="none"/>
        </w:rPr>
      </w:pPr>
      <w:r>
        <w:rPr>
          <w:rFonts w:hint="eastAsia" w:ascii="宋体" w:hAnsi="宋体" w:eastAsia="宋体" w:cs="宋体"/>
          <w:sz w:val="26"/>
          <w:szCs w:val="26"/>
          <w:highlight w:val="none"/>
        </w:rPr>
        <w:t>（4）中标人应保证所提供的货物是原制造厂商制造、经过合法销售渠道取得、全新、未使用过的，并完全符合合同规定的品牌、规格型号、技术性能、配置、质量、数量等要求。</w:t>
      </w:r>
    </w:p>
    <w:p w14:paraId="3DD05A19">
      <w:pPr>
        <w:adjustRightInd/>
        <w:snapToGrid/>
        <w:spacing w:before="150" w:after="0" w:line="480" w:lineRule="atLeast"/>
        <w:ind w:firstLine="480"/>
        <w:jc w:val="both"/>
        <w:rPr>
          <w:rFonts w:hint="eastAsia" w:ascii="宋体" w:hAnsi="宋体" w:eastAsia="宋体" w:cs="宋体"/>
          <w:sz w:val="26"/>
          <w:szCs w:val="26"/>
          <w:highlight w:val="none"/>
        </w:rPr>
      </w:pPr>
      <w:r>
        <w:rPr>
          <w:rFonts w:hint="eastAsia" w:ascii="宋体" w:hAnsi="宋体" w:eastAsia="宋体" w:cs="宋体"/>
          <w:sz w:val="26"/>
          <w:szCs w:val="26"/>
          <w:highlight w:val="none"/>
        </w:rPr>
        <w:t>（5）交货的同时应提交下列文件：销售发票，制造厂商出具的质量检验证书，产品合格证。</w:t>
      </w:r>
    </w:p>
    <w:p w14:paraId="5CD19AE2">
      <w:pPr>
        <w:adjustRightInd/>
        <w:snapToGrid/>
        <w:spacing w:before="150" w:after="0" w:line="480" w:lineRule="atLeast"/>
        <w:ind w:firstLine="480"/>
        <w:jc w:val="both"/>
        <w:rPr>
          <w:rFonts w:hint="eastAsia" w:ascii="宋体" w:hAnsi="宋体" w:eastAsia="宋体" w:cs="宋体"/>
          <w:sz w:val="26"/>
          <w:szCs w:val="26"/>
          <w:highlight w:val="none"/>
        </w:rPr>
      </w:pPr>
      <w:r>
        <w:rPr>
          <w:rFonts w:hint="eastAsia" w:ascii="宋体" w:hAnsi="宋体" w:eastAsia="宋体" w:cs="宋体"/>
          <w:sz w:val="26"/>
          <w:szCs w:val="26"/>
          <w:highlight w:val="none"/>
        </w:rPr>
        <w:t>5.5验收方法：安装调试完毕后，进行为期3个月的试运行。试运行结束后，采购人对货物性能及技术指标进行评价，符合要求后的，验收通过；不合格的，中标人需进行更换或整改，并重新调试运行直至达到验收合格。验收时中标人应提供招标文件、投标文件及合同等相关材料，如发现货物与之规定不符，采购人有权拒绝接受并向中标人提出索赔。如货物在质量保证期内被证明存在缺陷，包括潜在的缺陷或使用不合适的材料，采购人有权凭有关证明文件向中标人提出索赔。</w:t>
      </w:r>
    </w:p>
    <w:p w14:paraId="609203B1">
      <w:pPr>
        <w:adjustRightInd/>
        <w:snapToGrid/>
        <w:spacing w:before="150" w:after="0" w:line="480" w:lineRule="atLeast"/>
        <w:jc w:val="both"/>
        <w:rPr>
          <w:rFonts w:hint="eastAsia" w:ascii="宋体" w:hAnsi="宋体" w:eastAsia="宋体" w:cs="宋体"/>
          <w:b/>
          <w:bCs/>
          <w:sz w:val="26"/>
          <w:highlight w:val="none"/>
        </w:rPr>
      </w:pPr>
      <w:r>
        <w:rPr>
          <w:rFonts w:hint="eastAsia" w:ascii="宋体" w:hAnsi="宋体" w:eastAsia="宋体" w:cs="宋体"/>
          <w:b/>
          <w:bCs/>
          <w:sz w:val="26"/>
          <w:highlight w:val="none"/>
        </w:rPr>
        <w:t>6、违约责任</w:t>
      </w:r>
    </w:p>
    <w:p w14:paraId="58FECCCE">
      <w:pPr>
        <w:adjustRightInd/>
        <w:snapToGrid/>
        <w:spacing w:before="150" w:after="0" w:line="480" w:lineRule="atLeast"/>
        <w:ind w:firstLine="480"/>
        <w:jc w:val="both"/>
        <w:rPr>
          <w:rFonts w:hint="eastAsia" w:ascii="宋体" w:hAnsi="宋体" w:eastAsia="宋体" w:cs="宋体"/>
          <w:sz w:val="26"/>
          <w:szCs w:val="26"/>
          <w:highlight w:val="none"/>
        </w:rPr>
      </w:pPr>
      <w:r>
        <w:rPr>
          <w:rFonts w:hint="eastAsia" w:ascii="宋体" w:hAnsi="宋体" w:eastAsia="宋体" w:cs="宋体"/>
          <w:sz w:val="26"/>
          <w:szCs w:val="26"/>
          <w:highlight w:val="none"/>
        </w:rPr>
        <w:t>6.1如果中标人未能按合同规定的时间按时足额交货的（不可抗力除外），在中标人书面同意支付延期交货违约金的条件下，采购人有权选择同意延长交货期还是不予延长交货期，采购人同意延长交货期的，延期交货的时间由双方另行确定。延期交货违约金的支付采购人有权从未付的合同货款中扣除。延期交货违约金比率为每迟交1 天，按迟交货物金额的2%。但是，延期交货违约金的支付总额不得超过迟交货物部分合同金额的30%。</w:t>
      </w:r>
    </w:p>
    <w:p w14:paraId="7F406C9B">
      <w:pPr>
        <w:adjustRightInd/>
        <w:snapToGrid/>
        <w:spacing w:before="150" w:after="0" w:line="480" w:lineRule="atLeast"/>
        <w:ind w:firstLine="480"/>
        <w:jc w:val="both"/>
        <w:rPr>
          <w:rFonts w:hint="eastAsia" w:ascii="宋体" w:hAnsi="宋体" w:eastAsia="宋体" w:cs="宋体"/>
          <w:sz w:val="26"/>
          <w:szCs w:val="26"/>
          <w:highlight w:val="none"/>
        </w:rPr>
      </w:pPr>
      <w:r>
        <w:rPr>
          <w:rFonts w:hint="eastAsia" w:ascii="宋体" w:hAnsi="宋体" w:eastAsia="宋体" w:cs="宋体"/>
          <w:sz w:val="26"/>
          <w:szCs w:val="26"/>
          <w:highlight w:val="none"/>
        </w:rPr>
        <w:t>6.2如果中标人未能按合同规定的时间或双方另行确定的延期交货期按时足额交货的（不可抗力除外），每逾期1天，中标人应按迟交货物金额的2%向采购人支付逾期交货的违约金。逾期交货违约金的支付采购人有权从未付的合同货款中予以扣除。若中标人逾期交货达30天以上（含30天）以上的，采购人有权单方解除本合同，中标人仍应按上述约定支付延期交货违约金。若因此给采购人造成损失的，还应赔偿采购人所受的损失。</w:t>
      </w:r>
    </w:p>
    <w:p w14:paraId="24771A4C">
      <w:pPr>
        <w:adjustRightInd/>
        <w:snapToGrid/>
        <w:spacing w:before="150" w:after="0" w:line="480" w:lineRule="atLeast"/>
        <w:ind w:firstLine="480"/>
        <w:jc w:val="both"/>
        <w:rPr>
          <w:rFonts w:hint="eastAsia" w:ascii="宋体" w:hAnsi="宋体" w:eastAsia="宋体" w:cs="宋体"/>
          <w:sz w:val="26"/>
          <w:szCs w:val="26"/>
          <w:highlight w:val="none"/>
        </w:rPr>
      </w:pPr>
      <w:r>
        <w:rPr>
          <w:rFonts w:hint="eastAsia" w:ascii="宋体" w:hAnsi="宋体" w:eastAsia="宋体" w:cs="宋体"/>
          <w:sz w:val="26"/>
          <w:szCs w:val="26"/>
          <w:highlight w:val="none"/>
        </w:rPr>
        <w:t>6.3若中标人不能交货的（逾期15个工作日视为不能交货，不可抗拒的因素除外）或交货不合格从而影响采购人正常使用的，中标人应向采购人偿付不能交货部分货款的20%的违约金。违约金不足以补偿损失的，采购人有权要求中标人赔偿损失。</w:t>
      </w:r>
    </w:p>
    <w:p w14:paraId="2F0FDBB0">
      <w:pPr>
        <w:pStyle w:val="27"/>
        <w:ind w:firstLine="520" w:firstLineChars="200"/>
        <w:jc w:val="both"/>
        <w:rPr>
          <w:rFonts w:ascii="宋体" w:hAnsi="宋体"/>
          <w:bCs/>
          <w:sz w:val="26"/>
          <w:szCs w:val="26"/>
          <w:highlight w:val="none"/>
        </w:rPr>
      </w:pPr>
      <w:r>
        <w:rPr>
          <w:rFonts w:ascii="宋体" w:hAnsi="宋体" w:eastAsia="宋体" w:cs="宋体"/>
          <w:sz w:val="26"/>
          <w:szCs w:val="26"/>
          <w:highlight w:val="none"/>
        </w:rPr>
        <w:t>6.4如果中标人未能按照合同约定的时间提供服务的，每逾期1天的，中标人应向采购人支付500元违约金，若因此给采购人造成损失的，中标人还应赔偿采购人所受的损失。</w:t>
      </w:r>
    </w:p>
    <w:p w14:paraId="00444F41">
      <w:pPr>
        <w:pStyle w:val="27"/>
        <w:jc w:val="both"/>
        <w:rPr>
          <w:rFonts w:ascii="宋体" w:hAnsi="宋体"/>
          <w:bCs/>
          <w:sz w:val="26"/>
          <w:szCs w:val="26"/>
          <w:highlight w:val="none"/>
        </w:rPr>
      </w:pPr>
    </w:p>
    <w:p w14:paraId="5C2ACC0B">
      <w:pPr>
        <w:pStyle w:val="27"/>
        <w:jc w:val="both"/>
        <w:rPr>
          <w:rFonts w:ascii="宋体" w:hAnsi="宋体"/>
          <w:bCs/>
          <w:sz w:val="26"/>
          <w:szCs w:val="26"/>
          <w:highlight w:val="none"/>
        </w:rPr>
      </w:pPr>
      <w:r>
        <w:rPr>
          <w:rFonts w:ascii="宋体" w:hAnsi="宋体"/>
          <w:bCs/>
          <w:sz w:val="26"/>
          <w:szCs w:val="26"/>
          <w:highlight w:val="none"/>
        </w:rPr>
        <w:t>四、综合评分法</w:t>
      </w:r>
    </w:p>
    <w:p w14:paraId="765A9D55">
      <w:pPr>
        <w:pStyle w:val="27"/>
        <w:jc w:val="both"/>
        <w:rPr>
          <w:rFonts w:ascii="宋体" w:hAnsi="宋体"/>
          <w:bCs/>
          <w:sz w:val="26"/>
          <w:szCs w:val="26"/>
          <w:highlight w:val="none"/>
        </w:rPr>
      </w:pPr>
      <w:r>
        <w:rPr>
          <w:rFonts w:ascii="宋体" w:hAnsi="宋体"/>
          <w:bCs/>
          <w:sz w:val="26"/>
          <w:szCs w:val="26"/>
          <w:highlight w:val="none"/>
        </w:rPr>
        <w:t>价格项（F1×A1）满分为30.00分</w:t>
      </w:r>
    </w:p>
    <w:p w14:paraId="42E50A33">
      <w:pPr>
        <w:pStyle w:val="27"/>
        <w:jc w:val="both"/>
        <w:rPr>
          <w:rFonts w:ascii="宋体" w:hAnsi="宋体"/>
          <w:bCs/>
          <w:sz w:val="26"/>
          <w:szCs w:val="26"/>
          <w:highlight w:val="none"/>
        </w:rPr>
      </w:pPr>
      <w:r>
        <w:rPr>
          <w:rFonts w:ascii="宋体" w:hAnsi="宋体"/>
          <w:bCs/>
          <w:sz w:val="26"/>
          <w:szCs w:val="26"/>
          <w:highlight w:val="none"/>
        </w:rPr>
        <w:t>投标报价得分＝（评标基准价/投标报价）×价格分值（注：满足招标文件要求且投标价格最低的投标报价为评标基准价。）最低报价不是中标的唯一依据。</w:t>
      </w:r>
    </w:p>
    <w:p w14:paraId="5AFCE63F">
      <w:pPr>
        <w:pStyle w:val="27"/>
        <w:jc w:val="both"/>
        <w:rPr>
          <w:rFonts w:ascii="宋体" w:hAnsi="宋体"/>
          <w:bCs/>
          <w:sz w:val="26"/>
          <w:szCs w:val="26"/>
          <w:highlight w:val="none"/>
        </w:rPr>
      </w:pPr>
      <w:r>
        <w:rPr>
          <w:rFonts w:ascii="宋体" w:hAnsi="宋体"/>
          <w:bCs/>
          <w:sz w:val="26"/>
          <w:szCs w:val="26"/>
          <w:highlight w:val="none"/>
        </w:rPr>
        <w:t>技术项（F2×A2）满分为60.00分</w:t>
      </w:r>
    </w:p>
    <w:tbl>
      <w:tblPr>
        <w:tblStyle w:val="20"/>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21"/>
        <w:gridCol w:w="932"/>
        <w:gridCol w:w="4153"/>
      </w:tblGrid>
      <w:tr w14:paraId="648016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21" w:type="dxa"/>
            <w:vAlign w:val="top"/>
          </w:tcPr>
          <w:p w14:paraId="1097F5A5">
            <w:pPr>
              <w:pStyle w:val="27"/>
              <w:jc w:val="both"/>
              <w:rPr>
                <w:rFonts w:ascii="宋体" w:hAnsi="宋体"/>
                <w:bCs/>
                <w:sz w:val="26"/>
                <w:szCs w:val="26"/>
                <w:highlight w:val="none"/>
              </w:rPr>
            </w:pPr>
            <w:r>
              <w:rPr>
                <w:rFonts w:ascii="宋体" w:hAnsi="宋体"/>
                <w:bCs/>
                <w:sz w:val="26"/>
                <w:szCs w:val="26"/>
                <w:highlight w:val="none"/>
              </w:rPr>
              <w:t>项目</w:t>
            </w:r>
          </w:p>
        </w:tc>
        <w:tc>
          <w:tcPr>
            <w:tcW w:w="932" w:type="dxa"/>
            <w:vAlign w:val="top"/>
          </w:tcPr>
          <w:p w14:paraId="2F7B51A0">
            <w:pPr>
              <w:pStyle w:val="27"/>
              <w:jc w:val="both"/>
              <w:rPr>
                <w:rFonts w:ascii="宋体" w:hAnsi="宋体"/>
                <w:bCs/>
                <w:sz w:val="26"/>
                <w:szCs w:val="26"/>
                <w:highlight w:val="none"/>
              </w:rPr>
            </w:pPr>
            <w:r>
              <w:rPr>
                <w:rFonts w:ascii="宋体" w:hAnsi="宋体"/>
                <w:bCs/>
                <w:sz w:val="26"/>
                <w:szCs w:val="26"/>
                <w:highlight w:val="none"/>
              </w:rPr>
              <w:t>分值</w:t>
            </w:r>
          </w:p>
        </w:tc>
        <w:tc>
          <w:tcPr>
            <w:tcW w:w="4153" w:type="dxa"/>
            <w:vAlign w:val="top"/>
          </w:tcPr>
          <w:p w14:paraId="62C7863B">
            <w:pPr>
              <w:pStyle w:val="27"/>
              <w:jc w:val="both"/>
              <w:rPr>
                <w:rFonts w:ascii="宋体" w:hAnsi="宋体"/>
                <w:bCs/>
                <w:sz w:val="26"/>
                <w:szCs w:val="26"/>
                <w:highlight w:val="none"/>
              </w:rPr>
            </w:pPr>
            <w:r>
              <w:rPr>
                <w:rFonts w:ascii="宋体" w:hAnsi="宋体"/>
                <w:bCs/>
                <w:sz w:val="26"/>
                <w:szCs w:val="26"/>
                <w:highlight w:val="none"/>
              </w:rPr>
              <w:t>描述</w:t>
            </w:r>
          </w:p>
        </w:tc>
      </w:tr>
      <w:tr w14:paraId="2156F8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21" w:type="dxa"/>
            <w:vAlign w:val="center"/>
          </w:tcPr>
          <w:p w14:paraId="6564A1A3">
            <w:pPr>
              <w:pStyle w:val="27"/>
              <w:jc w:val="both"/>
              <w:rPr>
                <w:rFonts w:ascii="宋体" w:hAnsi="宋体"/>
                <w:bCs/>
                <w:sz w:val="26"/>
                <w:szCs w:val="26"/>
                <w:highlight w:val="none"/>
              </w:rPr>
            </w:pPr>
            <w:r>
              <w:rPr>
                <w:rFonts w:ascii="宋体" w:hAnsi="宋体"/>
                <w:bCs/>
                <w:sz w:val="26"/>
                <w:szCs w:val="26"/>
                <w:highlight w:val="none"/>
              </w:rPr>
              <w:t>1、技术参数要求</w:t>
            </w:r>
          </w:p>
        </w:tc>
        <w:tc>
          <w:tcPr>
            <w:tcW w:w="932" w:type="dxa"/>
            <w:vAlign w:val="top"/>
          </w:tcPr>
          <w:p w14:paraId="73E80E24">
            <w:pPr>
              <w:pStyle w:val="27"/>
              <w:jc w:val="both"/>
              <w:rPr>
                <w:rFonts w:ascii="宋体" w:hAnsi="宋体"/>
                <w:bCs/>
                <w:sz w:val="26"/>
                <w:szCs w:val="26"/>
                <w:highlight w:val="none"/>
              </w:rPr>
            </w:pPr>
            <w:r>
              <w:rPr>
                <w:rFonts w:ascii="宋体" w:hAnsi="宋体"/>
                <w:bCs/>
                <w:sz w:val="26"/>
                <w:szCs w:val="26"/>
                <w:highlight w:val="none"/>
              </w:rPr>
              <w:t>60</w:t>
            </w:r>
          </w:p>
        </w:tc>
        <w:tc>
          <w:tcPr>
            <w:tcW w:w="4153" w:type="dxa"/>
            <w:vAlign w:val="center"/>
          </w:tcPr>
          <w:p w14:paraId="457B6C6C">
            <w:pPr>
              <w:pStyle w:val="27"/>
              <w:jc w:val="both"/>
              <w:rPr>
                <w:rFonts w:ascii="宋体" w:hAnsi="宋体"/>
                <w:bCs/>
                <w:sz w:val="26"/>
                <w:szCs w:val="26"/>
                <w:highlight w:val="none"/>
              </w:rPr>
            </w:pPr>
            <w:r>
              <w:rPr>
                <w:rFonts w:ascii="宋体" w:hAnsi="宋体"/>
                <w:bCs/>
                <w:sz w:val="26"/>
                <w:szCs w:val="26"/>
                <w:highlight w:val="none"/>
              </w:rPr>
              <w:t>根据投标人对招标文件“技术参数”中各项技术参数的逐项响应情况由评委进行评分。完全满足要求的得60分；技术参数共计64项（含下级分项指标），</w:t>
            </w:r>
            <w:r>
              <w:rPr>
                <w:rFonts w:ascii="宋体" w:hAnsi="宋体" w:cs="宋体"/>
                <w:sz w:val="26"/>
                <w:szCs w:val="26"/>
                <w:highlight w:val="none"/>
              </w:rPr>
              <w:t>带▲技术参数为重要技术参数，每负偏离一项扣3分。未带▲技术参数每负偏离一项扣0.68分</w:t>
            </w:r>
            <w:r>
              <w:rPr>
                <w:rFonts w:ascii="宋体" w:hAnsi="宋体"/>
                <w:bCs/>
                <w:sz w:val="26"/>
                <w:szCs w:val="26"/>
                <w:highlight w:val="none"/>
              </w:rPr>
              <w:t>，扣完为止。注：招标文件中技术参数若有要求投标人提供相应佐</w:t>
            </w:r>
            <w:bookmarkStart w:id="0" w:name="_GoBack"/>
            <w:bookmarkEnd w:id="0"/>
            <w:r>
              <w:rPr>
                <w:rFonts w:ascii="宋体" w:hAnsi="宋体"/>
                <w:bCs/>
                <w:sz w:val="26"/>
                <w:szCs w:val="26"/>
                <w:highlight w:val="none"/>
              </w:rPr>
              <w:t>证材料的，若未提供或响应承诺与其佐证材料不一致的，评审小组将以不利于投标人的内容为准进行评审。</w:t>
            </w:r>
          </w:p>
        </w:tc>
      </w:tr>
    </w:tbl>
    <w:p w14:paraId="7A041B83">
      <w:pPr>
        <w:pStyle w:val="27"/>
        <w:jc w:val="both"/>
        <w:rPr>
          <w:rFonts w:ascii="宋体" w:hAnsi="宋体"/>
          <w:bCs/>
          <w:sz w:val="26"/>
          <w:szCs w:val="26"/>
          <w:highlight w:val="none"/>
        </w:rPr>
      </w:pPr>
      <w:r>
        <w:rPr>
          <w:rFonts w:ascii="宋体" w:hAnsi="宋体"/>
          <w:bCs/>
          <w:sz w:val="26"/>
          <w:szCs w:val="26"/>
          <w:highlight w:val="none"/>
        </w:rPr>
        <w:t>商务项（F3×A3）满分为10.00分</w:t>
      </w:r>
    </w:p>
    <w:tbl>
      <w:tblPr>
        <w:tblStyle w:val="20"/>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322"/>
        <w:gridCol w:w="831"/>
        <w:gridCol w:w="4153"/>
      </w:tblGrid>
      <w:tr w14:paraId="64F2AD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4" w:hRule="atLeast"/>
        </w:trPr>
        <w:tc>
          <w:tcPr>
            <w:tcW w:w="3322" w:type="dxa"/>
            <w:vAlign w:val="top"/>
          </w:tcPr>
          <w:p w14:paraId="0366338F">
            <w:pPr>
              <w:pStyle w:val="27"/>
              <w:jc w:val="both"/>
              <w:rPr>
                <w:rFonts w:ascii="宋体" w:hAnsi="宋体"/>
                <w:bCs/>
                <w:sz w:val="26"/>
                <w:szCs w:val="26"/>
                <w:highlight w:val="none"/>
              </w:rPr>
            </w:pPr>
            <w:r>
              <w:rPr>
                <w:rFonts w:ascii="宋体" w:hAnsi="宋体"/>
                <w:bCs/>
                <w:sz w:val="26"/>
                <w:szCs w:val="26"/>
                <w:highlight w:val="none"/>
              </w:rPr>
              <w:t>项目</w:t>
            </w:r>
          </w:p>
        </w:tc>
        <w:tc>
          <w:tcPr>
            <w:tcW w:w="831" w:type="dxa"/>
            <w:vAlign w:val="top"/>
          </w:tcPr>
          <w:p w14:paraId="1431A5F1">
            <w:pPr>
              <w:pStyle w:val="27"/>
              <w:jc w:val="both"/>
              <w:rPr>
                <w:rFonts w:ascii="宋体" w:hAnsi="宋体"/>
                <w:bCs/>
                <w:sz w:val="26"/>
                <w:szCs w:val="26"/>
                <w:highlight w:val="none"/>
              </w:rPr>
            </w:pPr>
            <w:r>
              <w:rPr>
                <w:rFonts w:ascii="宋体" w:hAnsi="宋体"/>
                <w:bCs/>
                <w:sz w:val="26"/>
                <w:szCs w:val="26"/>
                <w:highlight w:val="none"/>
              </w:rPr>
              <w:t>分值</w:t>
            </w:r>
          </w:p>
        </w:tc>
        <w:tc>
          <w:tcPr>
            <w:tcW w:w="4153" w:type="dxa"/>
            <w:vAlign w:val="top"/>
          </w:tcPr>
          <w:p w14:paraId="33E098BC">
            <w:pPr>
              <w:pStyle w:val="27"/>
              <w:jc w:val="both"/>
              <w:rPr>
                <w:rFonts w:ascii="宋体" w:hAnsi="宋体"/>
                <w:bCs/>
                <w:sz w:val="26"/>
                <w:szCs w:val="26"/>
                <w:highlight w:val="none"/>
              </w:rPr>
            </w:pPr>
            <w:r>
              <w:rPr>
                <w:rFonts w:ascii="宋体" w:hAnsi="宋体"/>
                <w:bCs/>
                <w:sz w:val="26"/>
                <w:szCs w:val="26"/>
                <w:highlight w:val="none"/>
              </w:rPr>
              <w:t>描述</w:t>
            </w:r>
          </w:p>
        </w:tc>
      </w:tr>
      <w:tr w14:paraId="5182B3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top"/>
          </w:tcPr>
          <w:p w14:paraId="44D140F8">
            <w:pPr>
              <w:pStyle w:val="27"/>
              <w:jc w:val="both"/>
              <w:rPr>
                <w:rFonts w:ascii="宋体" w:hAnsi="宋体"/>
                <w:bCs/>
                <w:sz w:val="26"/>
                <w:szCs w:val="26"/>
                <w:highlight w:val="none"/>
              </w:rPr>
            </w:pPr>
            <w:r>
              <w:rPr>
                <w:rFonts w:ascii="宋体" w:hAnsi="宋体"/>
                <w:bCs/>
                <w:sz w:val="26"/>
                <w:szCs w:val="26"/>
                <w:highlight w:val="none"/>
              </w:rPr>
              <w:t>1、质保期</w:t>
            </w:r>
          </w:p>
        </w:tc>
        <w:tc>
          <w:tcPr>
            <w:tcW w:w="831" w:type="dxa"/>
            <w:vAlign w:val="top"/>
          </w:tcPr>
          <w:p w14:paraId="33E4E94C">
            <w:pPr>
              <w:pStyle w:val="27"/>
              <w:jc w:val="both"/>
              <w:rPr>
                <w:rFonts w:ascii="宋体" w:hAnsi="宋体"/>
                <w:bCs/>
                <w:sz w:val="26"/>
                <w:szCs w:val="26"/>
                <w:highlight w:val="none"/>
              </w:rPr>
            </w:pPr>
            <w:r>
              <w:rPr>
                <w:rFonts w:ascii="宋体" w:hAnsi="宋体"/>
                <w:bCs/>
                <w:sz w:val="26"/>
                <w:szCs w:val="26"/>
                <w:highlight w:val="none"/>
              </w:rPr>
              <w:t>2.00</w:t>
            </w:r>
          </w:p>
        </w:tc>
        <w:tc>
          <w:tcPr>
            <w:tcW w:w="4153" w:type="dxa"/>
            <w:vAlign w:val="top"/>
          </w:tcPr>
          <w:p w14:paraId="03B87532">
            <w:pPr>
              <w:pStyle w:val="27"/>
              <w:jc w:val="both"/>
              <w:rPr>
                <w:rFonts w:ascii="宋体" w:hAnsi="宋体"/>
                <w:bCs/>
                <w:sz w:val="26"/>
                <w:szCs w:val="26"/>
                <w:highlight w:val="none"/>
              </w:rPr>
            </w:pPr>
            <w:r>
              <w:rPr>
                <w:rFonts w:ascii="宋体" w:hAnsi="宋体"/>
                <w:bCs/>
                <w:sz w:val="26"/>
                <w:szCs w:val="26"/>
                <w:highlight w:val="none"/>
              </w:rPr>
              <w:t>根据投标人所提供延长质保期承诺函进行评分，在满足招标文件规定要求2年的基础上，每增加一年得1分 ；未提供不得分。（须提供延长质保期承诺函，格式自拟。）</w:t>
            </w:r>
          </w:p>
        </w:tc>
      </w:tr>
      <w:tr w14:paraId="61500C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6" w:hRule="atLeast"/>
        </w:trPr>
        <w:tc>
          <w:tcPr>
            <w:tcW w:w="3322" w:type="dxa"/>
            <w:vAlign w:val="top"/>
          </w:tcPr>
          <w:p w14:paraId="288D4607">
            <w:pPr>
              <w:pStyle w:val="27"/>
              <w:jc w:val="both"/>
              <w:rPr>
                <w:rFonts w:ascii="宋体" w:hAnsi="宋体"/>
                <w:bCs/>
                <w:sz w:val="26"/>
                <w:szCs w:val="26"/>
                <w:highlight w:val="none"/>
              </w:rPr>
            </w:pPr>
            <w:r>
              <w:rPr>
                <w:rFonts w:ascii="宋体" w:hAnsi="宋体"/>
                <w:bCs/>
                <w:sz w:val="26"/>
                <w:szCs w:val="26"/>
                <w:highlight w:val="none"/>
              </w:rPr>
              <w:t>2、安装方案</w:t>
            </w:r>
          </w:p>
        </w:tc>
        <w:tc>
          <w:tcPr>
            <w:tcW w:w="831" w:type="dxa"/>
            <w:vAlign w:val="top"/>
          </w:tcPr>
          <w:p w14:paraId="10765180">
            <w:pPr>
              <w:pStyle w:val="27"/>
              <w:jc w:val="both"/>
              <w:rPr>
                <w:rFonts w:ascii="宋体" w:hAnsi="宋体"/>
                <w:bCs/>
                <w:sz w:val="26"/>
                <w:szCs w:val="26"/>
                <w:highlight w:val="none"/>
              </w:rPr>
            </w:pPr>
            <w:r>
              <w:rPr>
                <w:rFonts w:ascii="宋体" w:hAnsi="宋体"/>
                <w:bCs/>
                <w:sz w:val="26"/>
                <w:szCs w:val="26"/>
                <w:highlight w:val="none"/>
              </w:rPr>
              <w:t>4.00</w:t>
            </w:r>
          </w:p>
        </w:tc>
        <w:tc>
          <w:tcPr>
            <w:tcW w:w="4153" w:type="dxa"/>
            <w:vAlign w:val="top"/>
          </w:tcPr>
          <w:p w14:paraId="783CD426">
            <w:pPr>
              <w:pStyle w:val="27"/>
              <w:jc w:val="both"/>
              <w:rPr>
                <w:rFonts w:ascii="宋体" w:hAnsi="宋体"/>
                <w:bCs/>
                <w:sz w:val="26"/>
                <w:szCs w:val="26"/>
                <w:highlight w:val="none"/>
              </w:rPr>
            </w:pPr>
            <w:r>
              <w:rPr>
                <w:rFonts w:ascii="宋体" w:hAnsi="宋体" w:cs="宋体"/>
                <w:sz w:val="26"/>
                <w:szCs w:val="26"/>
                <w:highlight w:val="none"/>
              </w:rPr>
              <w:t>根据投标人对本次项目的安装方案的合理性、可操作性等情况由评标委员会会进行评分：方案合理、可操作性强的得4分，方案较合理、可操作性较强的得3.8分，方案的合理性及可操作性均一般的得3.6分，未提供的不得分。</w:t>
            </w:r>
          </w:p>
        </w:tc>
      </w:tr>
      <w:tr w14:paraId="12AF08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0" w:hRule="atLeast"/>
        </w:trPr>
        <w:tc>
          <w:tcPr>
            <w:tcW w:w="3322" w:type="dxa"/>
            <w:vAlign w:val="center"/>
          </w:tcPr>
          <w:p w14:paraId="0B1D834A">
            <w:pPr>
              <w:pStyle w:val="27"/>
              <w:jc w:val="both"/>
              <w:rPr>
                <w:rFonts w:ascii="宋体" w:hAnsi="宋体"/>
                <w:bCs/>
                <w:sz w:val="26"/>
                <w:szCs w:val="26"/>
                <w:highlight w:val="none"/>
              </w:rPr>
            </w:pPr>
            <w:r>
              <w:rPr>
                <w:rFonts w:hint="eastAsia" w:ascii="宋体" w:hAnsi="宋体"/>
                <w:bCs/>
                <w:sz w:val="26"/>
                <w:szCs w:val="26"/>
                <w:highlight w:val="none"/>
                <w:lang w:val="en-US" w:eastAsia="zh-CN"/>
              </w:rPr>
              <w:t>3</w:t>
            </w:r>
            <w:r>
              <w:rPr>
                <w:rFonts w:ascii="宋体" w:hAnsi="宋体"/>
                <w:bCs/>
                <w:sz w:val="26"/>
                <w:szCs w:val="26"/>
                <w:highlight w:val="none"/>
              </w:rPr>
              <w:t>、标书制作</w:t>
            </w:r>
          </w:p>
        </w:tc>
        <w:tc>
          <w:tcPr>
            <w:tcW w:w="831" w:type="dxa"/>
            <w:vAlign w:val="center"/>
          </w:tcPr>
          <w:p w14:paraId="5C06A44C">
            <w:pPr>
              <w:pStyle w:val="27"/>
              <w:jc w:val="both"/>
              <w:rPr>
                <w:rFonts w:ascii="宋体" w:hAnsi="宋体"/>
                <w:bCs/>
                <w:sz w:val="26"/>
                <w:szCs w:val="26"/>
                <w:highlight w:val="none"/>
              </w:rPr>
            </w:pPr>
            <w:r>
              <w:rPr>
                <w:rFonts w:ascii="宋体" w:hAnsi="宋体"/>
                <w:bCs/>
                <w:sz w:val="26"/>
                <w:szCs w:val="26"/>
                <w:highlight w:val="none"/>
              </w:rPr>
              <w:t>4.00</w:t>
            </w:r>
          </w:p>
        </w:tc>
        <w:tc>
          <w:tcPr>
            <w:tcW w:w="4153" w:type="dxa"/>
            <w:vAlign w:val="top"/>
          </w:tcPr>
          <w:p w14:paraId="395FF86B">
            <w:pPr>
              <w:pStyle w:val="27"/>
              <w:jc w:val="both"/>
              <w:rPr>
                <w:rFonts w:ascii="宋体" w:hAnsi="宋体"/>
                <w:bCs/>
                <w:sz w:val="26"/>
                <w:szCs w:val="26"/>
                <w:highlight w:val="none"/>
              </w:rPr>
            </w:pPr>
            <w:r>
              <w:rPr>
                <w:rFonts w:ascii="宋体" w:hAnsi="宋体"/>
                <w:bCs/>
                <w:sz w:val="26"/>
                <w:szCs w:val="26"/>
                <w:highlight w:val="none"/>
              </w:rPr>
              <w:t>根据投标文件制作情况进行横向打分，文件制作情况优秀的，得4分；文件制作较好的，得3.8分；文件制作基本满足需求的，得3.6分。</w:t>
            </w:r>
          </w:p>
        </w:tc>
      </w:tr>
    </w:tbl>
    <w:p w14:paraId="01883FE4">
      <w:pPr>
        <w:rPr>
          <w:highlight w:val="none"/>
        </w:rPr>
      </w:pPr>
    </w:p>
    <w:p w14:paraId="66505414">
      <w:pPr>
        <w:rPr>
          <w:rFonts w:hint="eastAsia" w:ascii="宋体" w:hAnsi="宋体" w:eastAsia="宋体"/>
          <w:highlight w:val="none"/>
        </w:rPr>
      </w:pPr>
      <w:r>
        <w:rPr>
          <w:rFonts w:ascii="宋体" w:hAnsi="宋体" w:eastAsia="宋体" w:cs="宋体"/>
          <w:b/>
          <w:sz w:val="36"/>
          <w:szCs w:val="36"/>
          <w:highlight w:val="none"/>
        </w:rPr>
        <w:br w:type="page"/>
      </w:r>
    </w:p>
    <w:p w14:paraId="3C997553">
      <w:pPr>
        <w:pStyle w:val="11"/>
        <w:ind w:firstLine="0"/>
        <w:jc w:val="center"/>
        <w:rPr>
          <w:rFonts w:hint="eastAsia" w:ascii="宋体" w:hAnsi="宋体" w:eastAsia="宋体"/>
          <w:highlight w:val="none"/>
        </w:rPr>
      </w:pPr>
      <w:r>
        <w:rPr>
          <w:rFonts w:hint="eastAsia" w:ascii="宋体" w:hAnsi="宋体" w:eastAsia="宋体"/>
          <w:b/>
          <w:sz w:val="28"/>
          <w:szCs w:val="28"/>
          <w:highlight w:val="none"/>
        </w:rPr>
        <w:t>一、投标书</w:t>
      </w:r>
    </w:p>
    <w:p w14:paraId="30991669">
      <w:pPr>
        <w:rPr>
          <w:rFonts w:hint="eastAsia" w:ascii="宋体" w:hAnsi="宋体" w:eastAsia="宋体"/>
          <w:sz w:val="28"/>
          <w:szCs w:val="28"/>
          <w:highlight w:val="none"/>
        </w:rPr>
      </w:pPr>
      <w:r>
        <w:rPr>
          <w:rFonts w:hint="eastAsia" w:ascii="宋体" w:hAnsi="宋体" w:eastAsia="宋体"/>
          <w:sz w:val="28"/>
          <w:szCs w:val="28"/>
          <w:highlight w:val="none"/>
        </w:rPr>
        <w:t>致：福建省肿瘤医院</w:t>
      </w:r>
    </w:p>
    <w:p w14:paraId="4EE26AAA">
      <w:pPr>
        <w:rPr>
          <w:rFonts w:hint="eastAsia" w:ascii="宋体" w:hAnsi="宋体" w:eastAsia="宋体"/>
          <w:sz w:val="28"/>
          <w:szCs w:val="28"/>
          <w:highlight w:val="none"/>
        </w:rPr>
      </w:pPr>
      <w:r>
        <w:rPr>
          <w:rFonts w:hint="eastAsia" w:ascii="宋体" w:hAnsi="宋体" w:eastAsia="宋体"/>
          <w:sz w:val="28"/>
          <w:szCs w:val="28"/>
          <w:highlight w:val="none"/>
        </w:rPr>
        <w:t>1、根据你方项目的投标须知、招标文件等内容，遵照《中华人民共和国招标投标法》等有关规定，经踏勘项目现场和研究上述招标文件的投标须知、条款、数量清单及其他有关文件后，我方愿以人民币（大写）</w:t>
      </w:r>
      <w:r>
        <w:rPr>
          <w:rFonts w:hint="eastAsia" w:ascii="宋体" w:hAnsi="宋体" w:eastAsia="宋体"/>
          <w:b/>
          <w:sz w:val="28"/>
          <w:szCs w:val="28"/>
          <w:highlight w:val="none"/>
          <w:u w:val="single"/>
        </w:rPr>
        <w:t xml:space="preserve">：      </w:t>
      </w:r>
      <w:r>
        <w:rPr>
          <w:rFonts w:hint="eastAsia" w:ascii="宋体" w:hAnsi="宋体" w:eastAsia="宋体"/>
          <w:sz w:val="28"/>
          <w:szCs w:val="28"/>
          <w:highlight w:val="none"/>
          <w:u w:val="single"/>
        </w:rPr>
        <w:t xml:space="preserve">  （小写：           ）</w:t>
      </w:r>
      <w:r>
        <w:rPr>
          <w:rFonts w:hint="eastAsia" w:ascii="宋体" w:hAnsi="宋体" w:eastAsia="宋体"/>
          <w:sz w:val="28"/>
          <w:szCs w:val="28"/>
          <w:highlight w:val="none"/>
        </w:rPr>
        <w:t>的投标报价并按上述条款、标准要求承包上述项目，并承担任何质量缺陷保修责任。</w:t>
      </w:r>
    </w:p>
    <w:p w14:paraId="14AD0905">
      <w:pPr>
        <w:ind w:firstLine="532" w:firstLineChars="190"/>
        <w:rPr>
          <w:rFonts w:hint="eastAsia" w:ascii="宋体" w:hAnsi="宋体" w:eastAsia="宋体"/>
          <w:sz w:val="28"/>
          <w:szCs w:val="28"/>
          <w:highlight w:val="none"/>
        </w:rPr>
      </w:pPr>
      <w:r>
        <w:rPr>
          <w:rFonts w:hint="eastAsia" w:ascii="宋体" w:hAnsi="宋体" w:eastAsia="宋体"/>
          <w:sz w:val="28"/>
          <w:szCs w:val="28"/>
          <w:highlight w:val="none"/>
        </w:rPr>
        <w:t>2、我方已详细审核全部招标文件及有关附件。</w:t>
      </w:r>
    </w:p>
    <w:p w14:paraId="2838C937">
      <w:pPr>
        <w:ind w:firstLine="532" w:firstLineChars="190"/>
        <w:rPr>
          <w:rFonts w:hint="eastAsia" w:ascii="宋体" w:hAnsi="宋体" w:eastAsia="宋体"/>
          <w:sz w:val="28"/>
          <w:szCs w:val="28"/>
          <w:highlight w:val="none"/>
        </w:rPr>
      </w:pPr>
      <w:r>
        <w:rPr>
          <w:rFonts w:hint="eastAsia" w:ascii="宋体" w:hAnsi="宋体" w:eastAsia="宋体"/>
          <w:sz w:val="28"/>
          <w:szCs w:val="28"/>
          <w:highlight w:val="none"/>
        </w:rPr>
        <w:t>3、一旦我方中标，我方保证质量达到</w:t>
      </w:r>
      <w:r>
        <w:rPr>
          <w:rFonts w:hint="eastAsia" w:ascii="宋体" w:hAnsi="宋体" w:eastAsia="宋体"/>
          <w:b/>
          <w:sz w:val="28"/>
          <w:szCs w:val="28"/>
          <w:highlight w:val="none"/>
          <w:u w:val="single"/>
        </w:rPr>
        <w:t>投标须知、投标文件等规定</w:t>
      </w:r>
      <w:r>
        <w:rPr>
          <w:rFonts w:hint="eastAsia" w:ascii="宋体" w:hAnsi="宋体" w:eastAsia="宋体"/>
          <w:sz w:val="28"/>
          <w:szCs w:val="28"/>
          <w:highlight w:val="none"/>
        </w:rPr>
        <w:t>标准。</w:t>
      </w:r>
    </w:p>
    <w:p w14:paraId="35106A4D">
      <w:pPr>
        <w:ind w:firstLine="532" w:firstLineChars="190"/>
        <w:rPr>
          <w:rFonts w:hint="eastAsia" w:ascii="宋体" w:hAnsi="宋体" w:eastAsia="宋体"/>
          <w:sz w:val="28"/>
          <w:szCs w:val="28"/>
          <w:highlight w:val="none"/>
        </w:rPr>
      </w:pPr>
      <w:r>
        <w:rPr>
          <w:rFonts w:hint="eastAsia" w:ascii="宋体" w:hAnsi="宋体" w:eastAsia="宋体"/>
          <w:sz w:val="28"/>
          <w:szCs w:val="28"/>
          <w:highlight w:val="none"/>
        </w:rPr>
        <w:t>4、我方同意所提交的投标文件在招标文件的投标须知中规定的投标有效期内有效，在此期间内如果中标，我方将受此约束。</w:t>
      </w:r>
    </w:p>
    <w:p w14:paraId="13114515">
      <w:pPr>
        <w:ind w:firstLine="426"/>
        <w:rPr>
          <w:rFonts w:hint="eastAsia" w:ascii="宋体" w:hAnsi="宋体" w:eastAsia="宋体"/>
          <w:sz w:val="28"/>
          <w:szCs w:val="28"/>
          <w:highlight w:val="none"/>
        </w:rPr>
      </w:pPr>
      <w:r>
        <w:rPr>
          <w:rFonts w:hint="eastAsia" w:ascii="宋体" w:hAnsi="宋体" w:eastAsia="宋体"/>
          <w:sz w:val="28"/>
          <w:szCs w:val="28"/>
          <w:highlight w:val="none"/>
        </w:rPr>
        <w:t>5、除非另外达成协议并生效，你方的中标通知书和本投标文件将成为约束双方的合同文件的组成部分。</w:t>
      </w:r>
    </w:p>
    <w:p w14:paraId="30B4D5DB">
      <w:pPr>
        <w:ind w:firstLine="560" w:firstLineChars="200"/>
        <w:rPr>
          <w:rFonts w:hint="eastAsia" w:ascii="宋体" w:hAnsi="宋体" w:eastAsia="宋体"/>
          <w:sz w:val="28"/>
          <w:szCs w:val="28"/>
          <w:highlight w:val="none"/>
        </w:rPr>
      </w:pPr>
      <w:r>
        <w:rPr>
          <w:rFonts w:hint="eastAsia" w:ascii="宋体" w:hAnsi="宋体" w:eastAsia="宋体"/>
          <w:sz w:val="28"/>
          <w:szCs w:val="28"/>
          <w:highlight w:val="none"/>
        </w:rPr>
        <w:t>附件：报价清单</w:t>
      </w:r>
    </w:p>
    <w:p w14:paraId="4D5AAA62">
      <w:pPr>
        <w:spacing w:line="360" w:lineRule="exact"/>
        <w:ind w:firstLine="3220" w:firstLineChars="1150"/>
        <w:rPr>
          <w:rFonts w:hint="eastAsia" w:ascii="宋体" w:hAnsi="宋体" w:eastAsia="宋体"/>
          <w:sz w:val="28"/>
          <w:szCs w:val="28"/>
          <w:highlight w:val="none"/>
        </w:rPr>
      </w:pPr>
      <w:r>
        <w:rPr>
          <w:rFonts w:hint="eastAsia" w:ascii="宋体" w:hAnsi="宋体" w:eastAsia="宋体"/>
          <w:sz w:val="28"/>
          <w:szCs w:val="28"/>
          <w:highlight w:val="none"/>
        </w:rPr>
        <w:t xml:space="preserve">投标人（盖章）： </w:t>
      </w:r>
    </w:p>
    <w:p w14:paraId="4947E8A6">
      <w:pPr>
        <w:spacing w:line="360" w:lineRule="exact"/>
        <w:rPr>
          <w:rFonts w:hint="eastAsia" w:ascii="宋体" w:hAnsi="宋体" w:eastAsia="宋体"/>
          <w:sz w:val="28"/>
          <w:szCs w:val="28"/>
          <w:highlight w:val="none"/>
        </w:rPr>
      </w:pPr>
    </w:p>
    <w:p w14:paraId="58132368">
      <w:pPr>
        <w:spacing w:line="360" w:lineRule="exact"/>
        <w:ind w:firstLine="3220" w:firstLineChars="1150"/>
        <w:rPr>
          <w:rFonts w:hint="eastAsia" w:ascii="宋体" w:hAnsi="宋体" w:eastAsia="宋体"/>
          <w:sz w:val="28"/>
          <w:szCs w:val="28"/>
          <w:highlight w:val="none"/>
        </w:rPr>
      </w:pPr>
      <w:r>
        <w:rPr>
          <w:rFonts w:hint="eastAsia" w:ascii="宋体" w:hAnsi="宋体" w:eastAsia="宋体"/>
          <w:sz w:val="28"/>
          <w:szCs w:val="28"/>
          <w:highlight w:val="none"/>
        </w:rPr>
        <w:t xml:space="preserve">单位地址： </w:t>
      </w:r>
    </w:p>
    <w:p w14:paraId="126E8BF2">
      <w:pPr>
        <w:spacing w:line="360" w:lineRule="exact"/>
        <w:rPr>
          <w:rFonts w:hint="eastAsia" w:ascii="宋体" w:hAnsi="宋体" w:eastAsia="宋体"/>
          <w:sz w:val="28"/>
          <w:szCs w:val="28"/>
          <w:highlight w:val="none"/>
        </w:rPr>
      </w:pPr>
    </w:p>
    <w:p w14:paraId="6E677522">
      <w:pPr>
        <w:spacing w:line="360" w:lineRule="exact"/>
        <w:ind w:firstLine="3220" w:firstLineChars="1150"/>
        <w:rPr>
          <w:rFonts w:hint="eastAsia" w:ascii="宋体" w:hAnsi="宋体" w:eastAsia="宋体"/>
          <w:sz w:val="28"/>
          <w:szCs w:val="28"/>
          <w:highlight w:val="none"/>
        </w:rPr>
      </w:pPr>
      <w:r>
        <w:rPr>
          <w:rFonts w:hint="eastAsia" w:ascii="宋体" w:hAnsi="宋体" w:eastAsia="宋体"/>
          <w:sz w:val="28"/>
          <w:szCs w:val="28"/>
          <w:highlight w:val="none"/>
        </w:rPr>
        <w:t>法定代表人（签字或盖章）：</w:t>
      </w:r>
    </w:p>
    <w:p w14:paraId="4F20725F">
      <w:pPr>
        <w:spacing w:line="360" w:lineRule="exact"/>
        <w:rPr>
          <w:rFonts w:hint="eastAsia" w:ascii="宋体" w:hAnsi="宋体" w:eastAsia="宋体"/>
          <w:sz w:val="28"/>
          <w:szCs w:val="28"/>
          <w:highlight w:val="none"/>
        </w:rPr>
      </w:pPr>
    </w:p>
    <w:p w14:paraId="6AE0D241">
      <w:pPr>
        <w:spacing w:line="360" w:lineRule="exact"/>
        <w:ind w:firstLine="3220" w:firstLineChars="1150"/>
        <w:rPr>
          <w:rFonts w:hint="eastAsia" w:ascii="宋体" w:hAnsi="宋体" w:eastAsia="宋体"/>
          <w:sz w:val="28"/>
          <w:szCs w:val="28"/>
          <w:highlight w:val="none"/>
        </w:rPr>
      </w:pPr>
      <w:r>
        <w:rPr>
          <w:rFonts w:hint="eastAsia" w:ascii="宋体" w:hAnsi="宋体" w:eastAsia="宋体"/>
          <w:sz w:val="28"/>
          <w:szCs w:val="28"/>
          <w:highlight w:val="none"/>
        </w:rPr>
        <w:t xml:space="preserve">邮政编码：         </w:t>
      </w:r>
    </w:p>
    <w:p w14:paraId="6A36EF42">
      <w:pPr>
        <w:spacing w:line="360" w:lineRule="exact"/>
        <w:ind w:firstLine="3220" w:firstLineChars="1150"/>
        <w:rPr>
          <w:rFonts w:hint="eastAsia" w:ascii="宋体" w:hAnsi="宋体" w:eastAsia="宋体"/>
          <w:sz w:val="28"/>
          <w:szCs w:val="28"/>
          <w:highlight w:val="none"/>
        </w:rPr>
      </w:pPr>
    </w:p>
    <w:p w14:paraId="6C645DC2">
      <w:pPr>
        <w:spacing w:line="360" w:lineRule="exact"/>
        <w:ind w:firstLine="3220" w:firstLineChars="1150"/>
        <w:rPr>
          <w:rFonts w:hint="eastAsia" w:ascii="宋体" w:hAnsi="宋体" w:eastAsia="宋体"/>
          <w:sz w:val="28"/>
          <w:szCs w:val="28"/>
          <w:highlight w:val="none"/>
        </w:rPr>
      </w:pPr>
      <w:r>
        <w:rPr>
          <w:rFonts w:hint="eastAsia" w:ascii="宋体" w:hAnsi="宋体" w:eastAsia="宋体"/>
          <w:sz w:val="28"/>
          <w:szCs w:val="28"/>
          <w:highlight w:val="none"/>
        </w:rPr>
        <w:t xml:space="preserve">电话：       </w:t>
      </w:r>
    </w:p>
    <w:p w14:paraId="5408F8FC">
      <w:pPr>
        <w:spacing w:line="360" w:lineRule="exact"/>
        <w:ind w:firstLine="3220" w:firstLineChars="1150"/>
        <w:rPr>
          <w:rFonts w:hint="eastAsia" w:ascii="宋体" w:hAnsi="宋体" w:eastAsia="宋体"/>
          <w:sz w:val="28"/>
          <w:szCs w:val="28"/>
          <w:highlight w:val="none"/>
        </w:rPr>
      </w:pPr>
    </w:p>
    <w:p w14:paraId="377F8F74">
      <w:pPr>
        <w:spacing w:line="360" w:lineRule="exact"/>
        <w:ind w:firstLine="3220" w:firstLineChars="1150"/>
        <w:rPr>
          <w:rFonts w:hint="eastAsia" w:ascii="宋体" w:hAnsi="宋体" w:eastAsia="宋体"/>
          <w:sz w:val="28"/>
          <w:szCs w:val="28"/>
          <w:highlight w:val="none"/>
        </w:rPr>
      </w:pPr>
      <w:r>
        <w:rPr>
          <w:rFonts w:hint="eastAsia" w:ascii="宋体" w:hAnsi="宋体" w:eastAsia="宋体"/>
          <w:sz w:val="28"/>
          <w:szCs w:val="28"/>
          <w:highlight w:val="none"/>
        </w:rPr>
        <w:t xml:space="preserve">传真：  </w:t>
      </w:r>
    </w:p>
    <w:p w14:paraId="49907517">
      <w:pPr>
        <w:spacing w:line="360" w:lineRule="exact"/>
        <w:rPr>
          <w:rFonts w:hint="eastAsia" w:ascii="宋体" w:hAnsi="宋体" w:eastAsia="宋体"/>
          <w:sz w:val="28"/>
          <w:szCs w:val="28"/>
          <w:highlight w:val="none"/>
        </w:rPr>
      </w:pPr>
    </w:p>
    <w:p w14:paraId="13A546E7">
      <w:pPr>
        <w:spacing w:line="360" w:lineRule="exact"/>
        <w:ind w:firstLine="3220" w:firstLineChars="1150"/>
        <w:rPr>
          <w:rFonts w:hint="eastAsia" w:ascii="宋体" w:hAnsi="宋体" w:eastAsia="宋体"/>
          <w:sz w:val="28"/>
          <w:szCs w:val="28"/>
          <w:highlight w:val="none"/>
        </w:rPr>
      </w:pPr>
      <w:r>
        <w:rPr>
          <w:rFonts w:hint="eastAsia" w:ascii="宋体" w:hAnsi="宋体" w:eastAsia="宋体"/>
          <w:sz w:val="28"/>
          <w:szCs w:val="28"/>
          <w:highlight w:val="none"/>
        </w:rPr>
        <w:t xml:space="preserve">开户银行名称： </w:t>
      </w:r>
    </w:p>
    <w:p w14:paraId="5C08AC8D">
      <w:pPr>
        <w:spacing w:line="360" w:lineRule="exact"/>
        <w:rPr>
          <w:rFonts w:hint="eastAsia" w:ascii="宋体" w:hAnsi="宋体" w:eastAsia="宋体"/>
          <w:sz w:val="28"/>
          <w:szCs w:val="28"/>
          <w:highlight w:val="none"/>
        </w:rPr>
      </w:pPr>
    </w:p>
    <w:p w14:paraId="1C872C84">
      <w:pPr>
        <w:spacing w:line="360" w:lineRule="exact"/>
        <w:ind w:firstLine="3220" w:firstLineChars="1150"/>
        <w:rPr>
          <w:rFonts w:hint="eastAsia" w:ascii="宋体" w:hAnsi="宋体" w:eastAsia="宋体"/>
          <w:sz w:val="28"/>
          <w:szCs w:val="28"/>
          <w:highlight w:val="none"/>
        </w:rPr>
      </w:pPr>
      <w:r>
        <w:rPr>
          <w:rFonts w:hint="eastAsia" w:ascii="宋体" w:hAnsi="宋体" w:eastAsia="宋体"/>
          <w:sz w:val="28"/>
          <w:szCs w:val="28"/>
          <w:highlight w:val="none"/>
        </w:rPr>
        <w:t xml:space="preserve">开户银行帐号： </w:t>
      </w:r>
    </w:p>
    <w:p w14:paraId="6C2BF56B">
      <w:pPr>
        <w:spacing w:line="360" w:lineRule="exact"/>
        <w:rPr>
          <w:rFonts w:hint="eastAsia" w:ascii="宋体" w:hAnsi="宋体" w:eastAsia="宋体"/>
          <w:sz w:val="28"/>
          <w:szCs w:val="28"/>
          <w:highlight w:val="none"/>
        </w:rPr>
      </w:pPr>
    </w:p>
    <w:p w14:paraId="36CE788A">
      <w:pPr>
        <w:spacing w:line="360" w:lineRule="exact"/>
        <w:jc w:val="center"/>
        <w:rPr>
          <w:rFonts w:hint="eastAsia" w:ascii="宋体" w:hAnsi="宋体" w:eastAsia="宋体"/>
          <w:sz w:val="28"/>
          <w:szCs w:val="28"/>
          <w:highlight w:val="none"/>
        </w:rPr>
      </w:pPr>
      <w:r>
        <w:rPr>
          <w:rFonts w:hint="eastAsia" w:ascii="宋体" w:hAnsi="宋体" w:eastAsia="宋体"/>
          <w:sz w:val="28"/>
          <w:szCs w:val="28"/>
          <w:highlight w:val="none"/>
        </w:rPr>
        <w:t>开户银行地址：</w:t>
      </w:r>
    </w:p>
    <w:p w14:paraId="228386B9">
      <w:pPr>
        <w:spacing w:line="360" w:lineRule="exact"/>
        <w:rPr>
          <w:rFonts w:hint="eastAsia" w:ascii="宋体" w:hAnsi="宋体" w:eastAsia="宋体"/>
          <w:sz w:val="28"/>
          <w:szCs w:val="28"/>
          <w:highlight w:val="none"/>
        </w:rPr>
      </w:pPr>
    </w:p>
    <w:p w14:paraId="58A94839">
      <w:pPr>
        <w:spacing w:line="360" w:lineRule="exact"/>
        <w:ind w:firstLine="3220" w:firstLineChars="1150"/>
        <w:rPr>
          <w:rFonts w:hint="eastAsia" w:ascii="宋体" w:hAnsi="宋体" w:eastAsia="宋体"/>
          <w:sz w:val="28"/>
          <w:szCs w:val="28"/>
          <w:highlight w:val="none"/>
        </w:rPr>
      </w:pPr>
      <w:r>
        <w:rPr>
          <w:rFonts w:hint="eastAsia" w:ascii="宋体" w:hAnsi="宋体" w:eastAsia="宋体"/>
          <w:sz w:val="28"/>
          <w:szCs w:val="28"/>
          <w:highlight w:val="none"/>
        </w:rPr>
        <w:t xml:space="preserve">开户银行电话： </w:t>
      </w:r>
    </w:p>
    <w:p w14:paraId="49595BEC">
      <w:pPr>
        <w:spacing w:line="360" w:lineRule="exact"/>
        <w:ind w:firstLine="600"/>
        <w:rPr>
          <w:rFonts w:hint="eastAsia" w:ascii="宋体" w:hAnsi="宋体" w:eastAsia="宋体"/>
          <w:sz w:val="28"/>
          <w:szCs w:val="28"/>
          <w:highlight w:val="none"/>
        </w:rPr>
      </w:pPr>
    </w:p>
    <w:p w14:paraId="6D76BB0A">
      <w:pPr>
        <w:spacing w:line="360" w:lineRule="exact"/>
        <w:jc w:val="right"/>
        <w:rPr>
          <w:rFonts w:hint="eastAsia" w:ascii="宋体" w:hAnsi="宋体" w:eastAsia="宋体"/>
          <w:sz w:val="28"/>
          <w:szCs w:val="28"/>
          <w:highlight w:val="none"/>
        </w:rPr>
      </w:pPr>
      <w:r>
        <w:rPr>
          <w:rFonts w:hint="eastAsia" w:ascii="宋体" w:hAnsi="宋体" w:eastAsia="宋体"/>
          <w:sz w:val="28"/>
          <w:szCs w:val="28"/>
          <w:highlight w:val="none"/>
        </w:rPr>
        <w:t>日期：   年   月    日</w:t>
      </w:r>
    </w:p>
    <w:p w14:paraId="4530C61B">
      <w:pPr>
        <w:rPr>
          <w:rFonts w:hint="eastAsia" w:ascii="宋体" w:hAnsi="宋体" w:eastAsia="宋体"/>
          <w:sz w:val="28"/>
          <w:szCs w:val="28"/>
          <w:highlight w:val="none"/>
        </w:rPr>
      </w:pPr>
    </w:p>
    <w:p w14:paraId="46B895DE">
      <w:pPr>
        <w:rPr>
          <w:rFonts w:hint="eastAsia" w:ascii="宋体" w:hAnsi="宋体" w:eastAsia="宋体"/>
          <w:sz w:val="28"/>
          <w:szCs w:val="28"/>
          <w:highlight w:val="none"/>
        </w:rPr>
      </w:pPr>
      <w:r>
        <w:rPr>
          <w:rFonts w:hint="eastAsia" w:ascii="宋体" w:hAnsi="宋体" w:eastAsia="宋体"/>
          <w:sz w:val="28"/>
          <w:szCs w:val="28"/>
          <w:highlight w:val="none"/>
        </w:rPr>
        <w:t>附件：投标报价清单</w:t>
      </w:r>
    </w:p>
    <w:p w14:paraId="527CC996">
      <w:pPr>
        <w:rPr>
          <w:rFonts w:hint="eastAsia" w:ascii="宋体" w:hAnsi="宋体" w:eastAsia="宋体"/>
          <w:sz w:val="28"/>
          <w:szCs w:val="28"/>
          <w:highlight w:val="none"/>
        </w:rPr>
      </w:pPr>
    </w:p>
    <w:tbl>
      <w:tblPr>
        <w:tblStyle w:val="20"/>
        <w:tblW w:w="78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9"/>
        <w:gridCol w:w="4399"/>
        <w:gridCol w:w="1417"/>
        <w:gridCol w:w="1440"/>
      </w:tblGrid>
      <w:tr w14:paraId="461C6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84" w:hRule="atLeast"/>
          <w:jc w:val="center"/>
        </w:trPr>
        <w:tc>
          <w:tcPr>
            <w:tcW w:w="629" w:type="dxa"/>
            <w:tcBorders>
              <w:top w:val="single" w:color="auto" w:sz="4" w:space="0"/>
              <w:left w:val="single" w:color="auto" w:sz="4" w:space="0"/>
              <w:bottom w:val="single" w:color="000000" w:sz="4" w:space="0"/>
              <w:right w:val="single" w:color="auto" w:sz="4" w:space="0"/>
            </w:tcBorders>
            <w:shd w:val="clear" w:color="FFFFFF" w:fill="auto"/>
            <w:vAlign w:val="center"/>
          </w:tcPr>
          <w:p w14:paraId="24A94F8C">
            <w:pPr>
              <w:jc w:val="center"/>
              <w:rPr>
                <w:rFonts w:hint="eastAsia" w:ascii="宋体" w:hAnsi="宋体" w:eastAsia="宋体" w:cs="Arial"/>
                <w:sz w:val="28"/>
                <w:szCs w:val="28"/>
                <w:highlight w:val="none"/>
              </w:rPr>
            </w:pPr>
          </w:p>
        </w:tc>
        <w:tc>
          <w:tcPr>
            <w:tcW w:w="4399" w:type="dxa"/>
            <w:tcBorders>
              <w:top w:val="single" w:color="auto" w:sz="4" w:space="0"/>
              <w:left w:val="single" w:color="000000" w:sz="4" w:space="0"/>
              <w:bottom w:val="single" w:color="000000" w:sz="4" w:space="0"/>
              <w:right w:val="single" w:color="000000" w:sz="4" w:space="0"/>
            </w:tcBorders>
            <w:shd w:val="clear" w:color="FFFFFF" w:fill="auto"/>
            <w:vAlign w:val="center"/>
          </w:tcPr>
          <w:p w14:paraId="4779EC64">
            <w:pPr>
              <w:jc w:val="center"/>
              <w:rPr>
                <w:rFonts w:hint="eastAsia" w:ascii="宋体" w:hAnsi="宋体" w:eastAsia="宋体" w:cs="Arial"/>
                <w:sz w:val="28"/>
                <w:szCs w:val="28"/>
                <w:highlight w:val="none"/>
              </w:rPr>
            </w:pPr>
          </w:p>
        </w:tc>
        <w:tc>
          <w:tcPr>
            <w:tcW w:w="1417" w:type="dxa"/>
            <w:tcBorders>
              <w:top w:val="single" w:color="auto" w:sz="4" w:space="0"/>
              <w:left w:val="single" w:color="000000" w:sz="4" w:space="0"/>
              <w:bottom w:val="single" w:color="000000" w:sz="4" w:space="0"/>
              <w:right w:val="single" w:color="auto" w:sz="4" w:space="0"/>
            </w:tcBorders>
            <w:shd w:val="clear" w:color="FFFFFF" w:fill="auto"/>
            <w:vAlign w:val="center"/>
          </w:tcPr>
          <w:p w14:paraId="07B8B43D">
            <w:pPr>
              <w:jc w:val="center"/>
              <w:rPr>
                <w:rFonts w:hint="eastAsia" w:ascii="宋体" w:hAnsi="宋体" w:eastAsia="宋体" w:cs="Arial"/>
                <w:sz w:val="28"/>
                <w:szCs w:val="28"/>
                <w:highlight w:val="none"/>
              </w:rPr>
            </w:pPr>
          </w:p>
        </w:tc>
        <w:tc>
          <w:tcPr>
            <w:tcW w:w="1440" w:type="dxa"/>
            <w:tcBorders>
              <w:top w:val="single" w:color="auto" w:sz="4" w:space="0"/>
              <w:left w:val="single" w:color="000000" w:sz="4" w:space="0"/>
              <w:bottom w:val="single" w:color="000000" w:sz="4" w:space="0"/>
              <w:right w:val="single" w:color="auto" w:sz="4" w:space="0"/>
            </w:tcBorders>
            <w:shd w:val="clear" w:color="FFFFFF" w:fill="auto"/>
            <w:vAlign w:val="center"/>
          </w:tcPr>
          <w:p w14:paraId="3FBDA786">
            <w:pPr>
              <w:jc w:val="center"/>
              <w:rPr>
                <w:rFonts w:hint="eastAsia" w:ascii="宋体" w:hAnsi="宋体" w:eastAsia="宋体" w:cs="Arial"/>
                <w:sz w:val="28"/>
                <w:szCs w:val="28"/>
                <w:highlight w:val="none"/>
              </w:rPr>
            </w:pPr>
          </w:p>
        </w:tc>
      </w:tr>
      <w:tr w14:paraId="2F9F6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vAlign w:val="center"/>
          </w:tcPr>
          <w:p w14:paraId="4D9A005B">
            <w:pPr>
              <w:jc w:val="center"/>
              <w:rPr>
                <w:rFonts w:hint="eastAsia" w:ascii="宋体" w:hAnsi="宋体" w:eastAsia="宋体" w:cs="Arial"/>
                <w:sz w:val="28"/>
                <w:szCs w:val="28"/>
                <w:highlight w:val="none"/>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vAlign w:val="center"/>
          </w:tcPr>
          <w:p w14:paraId="1A242775">
            <w:pPr>
              <w:pStyle w:val="17"/>
              <w:shd w:val="clear" w:color="auto" w:fill="FFFFFF"/>
              <w:spacing w:line="304" w:lineRule="atLeast"/>
              <w:rPr>
                <w:rFonts w:hint="eastAsia" w:ascii="宋体" w:hAnsi="宋体" w:eastAsia="宋体" w:cs="宋体"/>
                <w:kern w:val="2"/>
                <w:sz w:val="28"/>
                <w:szCs w:val="28"/>
                <w:highlight w:val="none"/>
              </w:rPr>
            </w:pPr>
          </w:p>
        </w:tc>
        <w:tc>
          <w:tcPr>
            <w:tcW w:w="1417" w:type="dxa"/>
            <w:tcBorders>
              <w:top w:val="single" w:color="auto" w:sz="4" w:space="0"/>
              <w:left w:val="single" w:color="000000" w:sz="4" w:space="0"/>
              <w:bottom w:val="single" w:color="auto" w:sz="4" w:space="0"/>
              <w:right w:val="single" w:color="auto" w:sz="4" w:space="0"/>
            </w:tcBorders>
            <w:shd w:val="clear" w:color="FFFFFF" w:fill="auto"/>
            <w:vAlign w:val="top"/>
          </w:tcPr>
          <w:p w14:paraId="1B990FE2">
            <w:pPr>
              <w:jc w:val="center"/>
              <w:rPr>
                <w:rFonts w:hint="eastAsia" w:ascii="宋体" w:hAnsi="宋体" w:eastAsia="宋体" w:cs="Arial"/>
                <w:sz w:val="28"/>
                <w:szCs w:val="28"/>
                <w:highlight w:val="none"/>
              </w:rPr>
            </w:pPr>
          </w:p>
        </w:tc>
        <w:tc>
          <w:tcPr>
            <w:tcW w:w="1440" w:type="dxa"/>
            <w:tcBorders>
              <w:top w:val="single" w:color="auto" w:sz="4" w:space="0"/>
              <w:left w:val="single" w:color="000000" w:sz="4" w:space="0"/>
              <w:bottom w:val="single" w:color="auto" w:sz="4" w:space="0"/>
              <w:right w:val="single" w:color="auto" w:sz="4" w:space="0"/>
            </w:tcBorders>
            <w:shd w:val="clear" w:color="FFFFFF" w:fill="auto"/>
            <w:vAlign w:val="top"/>
          </w:tcPr>
          <w:p w14:paraId="285B8E88">
            <w:pPr>
              <w:jc w:val="center"/>
              <w:rPr>
                <w:rFonts w:hint="eastAsia" w:ascii="宋体" w:hAnsi="宋体" w:eastAsia="宋体" w:cs="Arial"/>
                <w:sz w:val="28"/>
                <w:szCs w:val="28"/>
                <w:highlight w:val="none"/>
              </w:rPr>
            </w:pPr>
          </w:p>
        </w:tc>
      </w:tr>
      <w:tr w14:paraId="62530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vAlign w:val="center"/>
          </w:tcPr>
          <w:p w14:paraId="300ED842">
            <w:pPr>
              <w:jc w:val="center"/>
              <w:rPr>
                <w:rFonts w:hint="eastAsia" w:ascii="宋体" w:hAnsi="宋体" w:eastAsia="宋体" w:cs="Arial"/>
                <w:sz w:val="28"/>
                <w:szCs w:val="28"/>
                <w:highlight w:val="none"/>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vAlign w:val="center"/>
          </w:tcPr>
          <w:p w14:paraId="51CD1C42">
            <w:pPr>
              <w:pStyle w:val="17"/>
              <w:shd w:val="clear" w:color="auto" w:fill="FFFFFF"/>
              <w:spacing w:line="304" w:lineRule="atLeast"/>
              <w:rPr>
                <w:rFonts w:hint="eastAsia" w:ascii="宋体" w:hAnsi="宋体" w:eastAsia="宋体" w:cs="宋体"/>
                <w:kern w:val="2"/>
                <w:sz w:val="28"/>
                <w:szCs w:val="28"/>
                <w:highlight w:val="none"/>
              </w:rPr>
            </w:pPr>
          </w:p>
        </w:tc>
        <w:tc>
          <w:tcPr>
            <w:tcW w:w="1417" w:type="dxa"/>
            <w:tcBorders>
              <w:top w:val="single" w:color="auto" w:sz="4" w:space="0"/>
              <w:left w:val="single" w:color="000000" w:sz="4" w:space="0"/>
              <w:bottom w:val="single" w:color="auto" w:sz="4" w:space="0"/>
              <w:right w:val="single" w:color="auto" w:sz="4" w:space="0"/>
            </w:tcBorders>
            <w:shd w:val="clear" w:color="FFFFFF" w:fill="auto"/>
            <w:vAlign w:val="top"/>
          </w:tcPr>
          <w:p w14:paraId="07D6A5EC">
            <w:pPr>
              <w:jc w:val="center"/>
              <w:rPr>
                <w:rFonts w:hint="eastAsia" w:ascii="宋体" w:hAnsi="宋体" w:eastAsia="宋体" w:cs="Arial"/>
                <w:sz w:val="28"/>
                <w:szCs w:val="28"/>
                <w:highlight w:val="none"/>
              </w:rPr>
            </w:pPr>
          </w:p>
        </w:tc>
        <w:tc>
          <w:tcPr>
            <w:tcW w:w="1440" w:type="dxa"/>
            <w:tcBorders>
              <w:top w:val="single" w:color="auto" w:sz="4" w:space="0"/>
              <w:left w:val="single" w:color="000000" w:sz="4" w:space="0"/>
              <w:bottom w:val="single" w:color="auto" w:sz="4" w:space="0"/>
              <w:right w:val="single" w:color="auto" w:sz="4" w:space="0"/>
            </w:tcBorders>
            <w:shd w:val="clear" w:color="FFFFFF" w:fill="auto"/>
            <w:vAlign w:val="top"/>
          </w:tcPr>
          <w:p w14:paraId="2D9B32EF">
            <w:pPr>
              <w:jc w:val="center"/>
              <w:rPr>
                <w:rFonts w:hint="eastAsia" w:ascii="宋体" w:hAnsi="宋体" w:eastAsia="宋体" w:cs="Arial"/>
                <w:sz w:val="28"/>
                <w:szCs w:val="28"/>
                <w:highlight w:val="none"/>
              </w:rPr>
            </w:pPr>
          </w:p>
        </w:tc>
      </w:tr>
    </w:tbl>
    <w:p w14:paraId="38458821">
      <w:pPr>
        <w:jc w:val="center"/>
        <w:rPr>
          <w:rFonts w:hint="eastAsia" w:ascii="宋体" w:hAnsi="宋体" w:eastAsia="宋体"/>
          <w:sz w:val="28"/>
          <w:szCs w:val="28"/>
          <w:highlight w:val="none"/>
        </w:rPr>
      </w:pPr>
    </w:p>
    <w:p w14:paraId="3F0C8C98">
      <w:pPr>
        <w:pStyle w:val="12"/>
        <w:rPr>
          <w:rFonts w:hint="eastAsia" w:ascii="宋体" w:hAnsi="宋体" w:eastAsia="宋体"/>
          <w:sz w:val="28"/>
          <w:szCs w:val="28"/>
          <w:highlight w:val="none"/>
        </w:rPr>
      </w:pPr>
    </w:p>
    <w:p w14:paraId="57756231">
      <w:pPr>
        <w:pStyle w:val="12"/>
        <w:rPr>
          <w:rFonts w:hint="eastAsia" w:ascii="宋体" w:hAnsi="宋体" w:eastAsia="宋体"/>
          <w:sz w:val="28"/>
          <w:szCs w:val="28"/>
          <w:highlight w:val="none"/>
        </w:rPr>
      </w:pPr>
    </w:p>
    <w:p w14:paraId="7F544473">
      <w:pPr>
        <w:pStyle w:val="12"/>
        <w:rPr>
          <w:rFonts w:hint="eastAsia" w:ascii="宋体" w:hAnsi="宋体" w:eastAsia="宋体"/>
          <w:sz w:val="28"/>
          <w:szCs w:val="28"/>
          <w:highlight w:val="none"/>
        </w:rPr>
      </w:pPr>
    </w:p>
    <w:p w14:paraId="03EF3A4B">
      <w:pPr>
        <w:pStyle w:val="12"/>
        <w:rPr>
          <w:rFonts w:hint="eastAsia" w:ascii="宋体" w:hAnsi="宋体" w:eastAsia="宋体"/>
          <w:sz w:val="28"/>
          <w:szCs w:val="28"/>
          <w:highlight w:val="none"/>
        </w:rPr>
      </w:pPr>
    </w:p>
    <w:p w14:paraId="583392D2">
      <w:pPr>
        <w:pStyle w:val="12"/>
        <w:rPr>
          <w:rFonts w:hint="eastAsia" w:ascii="宋体" w:hAnsi="宋体" w:eastAsia="宋体"/>
          <w:sz w:val="28"/>
          <w:szCs w:val="28"/>
          <w:highlight w:val="none"/>
        </w:rPr>
      </w:pPr>
    </w:p>
    <w:p w14:paraId="454AE03B">
      <w:pPr>
        <w:pStyle w:val="12"/>
        <w:rPr>
          <w:rFonts w:hint="eastAsia" w:ascii="宋体" w:hAnsi="宋体" w:eastAsia="宋体"/>
          <w:sz w:val="28"/>
          <w:szCs w:val="28"/>
          <w:highlight w:val="none"/>
        </w:rPr>
      </w:pPr>
    </w:p>
    <w:p w14:paraId="44E74835">
      <w:pPr>
        <w:rPr>
          <w:rFonts w:hint="eastAsia" w:ascii="宋体" w:hAnsi="宋体" w:eastAsia="宋体"/>
          <w:sz w:val="28"/>
          <w:szCs w:val="28"/>
          <w:highlight w:val="none"/>
        </w:rPr>
      </w:pPr>
      <w:r>
        <w:rPr>
          <w:rFonts w:hint="eastAsia" w:ascii="宋体" w:hAnsi="宋体" w:eastAsia="宋体"/>
          <w:sz w:val="28"/>
          <w:szCs w:val="28"/>
          <w:highlight w:val="none"/>
        </w:rPr>
        <w:br w:type="page"/>
      </w:r>
    </w:p>
    <w:p w14:paraId="6B0076F4">
      <w:pPr>
        <w:jc w:val="center"/>
        <w:rPr>
          <w:rFonts w:hint="eastAsia" w:ascii="宋体" w:hAnsi="宋体" w:eastAsia="宋体"/>
          <w:b/>
          <w:sz w:val="28"/>
          <w:szCs w:val="28"/>
          <w:highlight w:val="none"/>
        </w:rPr>
      </w:pPr>
      <w:r>
        <w:rPr>
          <w:rFonts w:hint="eastAsia" w:ascii="宋体" w:hAnsi="宋体" w:eastAsia="宋体"/>
          <w:b/>
          <w:sz w:val="28"/>
          <w:szCs w:val="28"/>
          <w:highlight w:val="none"/>
        </w:rPr>
        <w:t>二、投标委托代表人资格证明书</w:t>
      </w:r>
    </w:p>
    <w:p w14:paraId="4F0468CD">
      <w:pPr>
        <w:rPr>
          <w:rFonts w:hint="eastAsia" w:ascii="宋体" w:hAnsi="宋体" w:eastAsia="宋体"/>
          <w:sz w:val="28"/>
          <w:szCs w:val="28"/>
          <w:highlight w:val="none"/>
        </w:rPr>
      </w:pPr>
    </w:p>
    <w:p w14:paraId="79336F9C">
      <w:pPr>
        <w:spacing w:line="360" w:lineRule="auto"/>
        <w:rPr>
          <w:rFonts w:hint="eastAsia" w:ascii="宋体" w:hAnsi="宋体" w:eastAsia="宋体"/>
          <w:sz w:val="28"/>
          <w:szCs w:val="28"/>
          <w:highlight w:val="none"/>
          <w:u w:val="single"/>
        </w:rPr>
      </w:pPr>
      <w:r>
        <w:rPr>
          <w:rFonts w:hint="eastAsia" w:ascii="宋体" w:hAnsi="宋体" w:eastAsia="宋体"/>
          <w:sz w:val="28"/>
          <w:szCs w:val="28"/>
          <w:highlight w:val="none"/>
        </w:rPr>
        <w:t>单位名称：</w:t>
      </w:r>
    </w:p>
    <w:p w14:paraId="338F6B70">
      <w:pPr>
        <w:spacing w:line="360" w:lineRule="auto"/>
        <w:rPr>
          <w:rFonts w:hint="eastAsia" w:ascii="宋体" w:hAnsi="宋体" w:eastAsia="宋体"/>
          <w:sz w:val="28"/>
          <w:szCs w:val="28"/>
          <w:highlight w:val="none"/>
          <w:u w:val="single"/>
        </w:rPr>
      </w:pPr>
      <w:r>
        <w:rPr>
          <w:rFonts w:hint="eastAsia" w:ascii="宋体" w:hAnsi="宋体" w:eastAsia="宋体"/>
          <w:sz w:val="28"/>
          <w:szCs w:val="28"/>
          <w:highlight w:val="none"/>
        </w:rPr>
        <w:t>地址：</w:t>
      </w:r>
    </w:p>
    <w:p w14:paraId="5B4B1F9A">
      <w:pPr>
        <w:spacing w:line="360" w:lineRule="auto"/>
        <w:rPr>
          <w:rFonts w:hint="eastAsia" w:ascii="宋体" w:hAnsi="宋体" w:eastAsia="宋体"/>
          <w:sz w:val="28"/>
          <w:szCs w:val="28"/>
          <w:highlight w:val="none"/>
        </w:rPr>
      </w:pPr>
      <w:r>
        <w:rPr>
          <w:rFonts w:hint="eastAsia" w:ascii="宋体" w:hAnsi="宋体" w:eastAsia="宋体"/>
          <w:sz w:val="28"/>
          <w:szCs w:val="28"/>
          <w:highlight w:val="none"/>
        </w:rPr>
        <w:t>姓名：    性别：年龄：  职务：   系委托代表人。为施工、竣工和保修项目，签署上述项目的投标文件、进行合同谈判、签署合同和处理与之有关的一切事务。</w:t>
      </w:r>
    </w:p>
    <w:p w14:paraId="5C3EAEBF">
      <w:pPr>
        <w:spacing w:line="360" w:lineRule="auto"/>
        <w:rPr>
          <w:rFonts w:hint="eastAsia" w:ascii="宋体" w:hAnsi="宋体" w:eastAsia="宋体"/>
          <w:sz w:val="28"/>
          <w:szCs w:val="28"/>
          <w:highlight w:val="none"/>
        </w:rPr>
      </w:pPr>
    </w:p>
    <w:p w14:paraId="42A47944">
      <w:pPr>
        <w:spacing w:line="360" w:lineRule="auto"/>
        <w:ind w:firstLine="5460" w:firstLineChars="1950"/>
        <w:rPr>
          <w:rFonts w:hint="eastAsia" w:ascii="宋体" w:hAnsi="宋体" w:eastAsia="宋体"/>
          <w:sz w:val="28"/>
          <w:szCs w:val="28"/>
          <w:highlight w:val="none"/>
        </w:rPr>
      </w:pPr>
      <w:r>
        <w:rPr>
          <w:rFonts w:hint="eastAsia" w:ascii="宋体" w:hAnsi="宋体" w:eastAsia="宋体"/>
          <w:sz w:val="28"/>
          <w:szCs w:val="28"/>
          <w:highlight w:val="none"/>
        </w:rPr>
        <w:t xml:space="preserve">投标人（盖章）：   </w:t>
      </w:r>
    </w:p>
    <w:p w14:paraId="23A0DD5F">
      <w:pPr>
        <w:spacing w:line="360" w:lineRule="auto"/>
        <w:ind w:firstLine="5740" w:firstLineChars="2050"/>
        <w:rPr>
          <w:rFonts w:hint="eastAsia" w:ascii="宋体" w:hAnsi="宋体" w:eastAsia="宋体"/>
          <w:sz w:val="28"/>
          <w:szCs w:val="28"/>
          <w:highlight w:val="none"/>
        </w:rPr>
      </w:pPr>
      <w:r>
        <w:rPr>
          <w:rFonts w:hint="eastAsia" w:ascii="宋体" w:hAnsi="宋体" w:eastAsia="宋体"/>
          <w:sz w:val="28"/>
          <w:szCs w:val="28"/>
          <w:highlight w:val="none"/>
        </w:rPr>
        <w:t>年   月  日</w:t>
      </w:r>
    </w:p>
    <w:p w14:paraId="32760D4E">
      <w:pPr>
        <w:jc w:val="center"/>
        <w:rPr>
          <w:rFonts w:hint="eastAsia" w:ascii="宋体" w:hAnsi="宋体" w:eastAsia="宋体"/>
          <w:b/>
          <w:sz w:val="28"/>
          <w:szCs w:val="28"/>
          <w:highlight w:val="none"/>
        </w:rPr>
      </w:pPr>
    </w:p>
    <w:p w14:paraId="462C25F1">
      <w:pPr>
        <w:rPr>
          <w:highlight w:val="none"/>
        </w:rPr>
      </w:pPr>
      <w:r>
        <w:rPr>
          <w:rFonts w:hint="eastAsia" w:ascii="宋体" w:hAnsi="宋体" w:eastAsia="宋体"/>
          <w:b/>
          <w:sz w:val="28"/>
          <w:szCs w:val="28"/>
          <w:highlight w:val="none"/>
        </w:rPr>
        <w:br w:type="page"/>
      </w:r>
    </w:p>
    <w:p w14:paraId="3C33DA57">
      <w:pPr>
        <w:jc w:val="center"/>
        <w:rPr>
          <w:rFonts w:hint="eastAsia" w:ascii="宋体" w:hAnsi="宋体" w:eastAsia="宋体"/>
          <w:b/>
          <w:sz w:val="28"/>
          <w:szCs w:val="28"/>
          <w:highlight w:val="none"/>
        </w:rPr>
      </w:pPr>
      <w:r>
        <w:rPr>
          <w:rFonts w:hint="eastAsia" w:ascii="宋体" w:hAnsi="宋体" w:eastAsia="宋体"/>
          <w:b/>
          <w:sz w:val="28"/>
          <w:szCs w:val="28"/>
          <w:highlight w:val="none"/>
        </w:rPr>
        <w:t>三、投标承诺书</w:t>
      </w:r>
    </w:p>
    <w:p w14:paraId="1955D438">
      <w:pPr>
        <w:tabs>
          <w:tab w:val="left" w:pos="5355"/>
        </w:tabs>
        <w:spacing w:before="100" w:beforeAutospacing="1" w:after="100" w:afterAutospacing="1" w:line="480" w:lineRule="auto"/>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我司承诺对项目的院内公开招标最终确定的综合评定最优结果表示认可，并承诺不会对福建省肿瘤医院在本项目招标过程中的工作模式以及终止本项目招标的可能提出疑议。</w:t>
      </w:r>
    </w:p>
    <w:p w14:paraId="6094E146">
      <w:pPr>
        <w:tabs>
          <w:tab w:val="left" w:pos="5355"/>
        </w:tabs>
        <w:spacing w:before="100" w:beforeAutospacing="1" w:after="100" w:afterAutospacing="1" w:line="480" w:lineRule="auto"/>
        <w:ind w:firstLine="560" w:firstLineChars="200"/>
        <w:rPr>
          <w:rFonts w:hint="eastAsia" w:ascii="宋体" w:hAnsi="宋体" w:eastAsia="宋体" w:cs="宋体"/>
          <w:sz w:val="28"/>
          <w:szCs w:val="28"/>
          <w:highlight w:val="none"/>
        </w:rPr>
      </w:pPr>
      <w:r>
        <w:rPr>
          <w:rFonts w:hint="eastAsia" w:ascii="宋体" w:hAnsi="宋体" w:eastAsia="宋体" w:cs="宋体"/>
          <w:bCs/>
          <w:sz w:val="28"/>
          <w:szCs w:val="28"/>
          <w:highlight w:val="none"/>
        </w:rPr>
        <w:t>我司承诺本投标所有的相关承诺书、投标文件等都作为本项目合同不可分割的部分，并承诺本项目合同、承诺书、投标书、方案等相关资料中发生歧义、冲突的条款、指标均以福建省肿瘤医院解释或要求为标准。投标人承诺中标后能够完全配合本项目施工的进度开展工作。</w:t>
      </w:r>
    </w:p>
    <w:p w14:paraId="2FA58426">
      <w:pPr>
        <w:tabs>
          <w:tab w:val="left" w:pos="5355"/>
        </w:tabs>
        <w:spacing w:before="100" w:beforeAutospacing="1" w:after="100" w:afterAutospacing="1" w:line="480" w:lineRule="auto"/>
        <w:ind w:firstLine="560" w:firstLineChars="200"/>
        <w:rPr>
          <w:rFonts w:hint="eastAsia" w:ascii="宋体" w:hAnsi="宋体" w:eastAsia="宋体" w:cs="宋体"/>
          <w:sz w:val="28"/>
          <w:szCs w:val="28"/>
          <w:highlight w:val="none"/>
        </w:rPr>
      </w:pPr>
      <w:r>
        <w:rPr>
          <w:rFonts w:hint="eastAsia" w:ascii="宋体" w:hAnsi="宋体" w:eastAsia="宋体" w:cs="宋体"/>
          <w:bCs/>
          <w:sz w:val="28"/>
          <w:szCs w:val="28"/>
          <w:highlight w:val="none"/>
        </w:rPr>
        <w:t>我司承诺福建省肿瘤医院在授予我司合同时有权利增加补充相关内容。</w:t>
      </w:r>
    </w:p>
    <w:p w14:paraId="232B47EF">
      <w:pPr>
        <w:tabs>
          <w:tab w:val="left" w:pos="5355"/>
        </w:tabs>
        <w:spacing w:before="100" w:beforeAutospacing="1" w:after="100" w:afterAutospacing="1" w:line="48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投标人名称（全称并加公章）：</w:t>
      </w:r>
    </w:p>
    <w:p w14:paraId="7E8CB2C1">
      <w:pPr>
        <w:tabs>
          <w:tab w:val="left" w:pos="5355"/>
        </w:tabs>
        <w:spacing w:before="100" w:beforeAutospacing="1" w:after="100" w:afterAutospacing="1" w:line="48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投标人代表签字：</w:t>
      </w:r>
    </w:p>
    <w:p w14:paraId="79154548">
      <w:pPr>
        <w:tabs>
          <w:tab w:val="left" w:pos="5355"/>
        </w:tabs>
        <w:spacing w:before="100" w:beforeAutospacing="1" w:after="100" w:afterAutospacing="1" w:line="480" w:lineRule="auto"/>
        <w:rPr>
          <w:rFonts w:hint="eastAsia" w:ascii="宋体" w:hAnsi="宋体" w:eastAsia="宋体"/>
          <w:b/>
          <w:sz w:val="28"/>
          <w:szCs w:val="28"/>
          <w:highlight w:val="none"/>
        </w:rPr>
      </w:pPr>
      <w:r>
        <w:rPr>
          <w:rFonts w:hint="eastAsia" w:ascii="宋体" w:hAnsi="宋体" w:eastAsia="宋体" w:cs="宋体"/>
          <w:sz w:val="28"/>
          <w:szCs w:val="28"/>
          <w:highlight w:val="none"/>
        </w:rPr>
        <w:t>日期：     年    月   日</w:t>
      </w:r>
    </w:p>
    <w:p w14:paraId="4633F785">
      <w:pPr>
        <w:rPr>
          <w:highlight w:val="none"/>
        </w:rPr>
      </w:pPr>
      <w:r>
        <w:rPr>
          <w:rFonts w:hint="eastAsia" w:ascii="宋体" w:hAnsi="宋体" w:eastAsia="宋体"/>
          <w:sz w:val="28"/>
          <w:szCs w:val="28"/>
          <w:highlight w:val="none"/>
        </w:rPr>
        <w:br w:type="page"/>
      </w:r>
    </w:p>
    <w:p w14:paraId="45AEF119">
      <w:pPr>
        <w:spacing w:line="380" w:lineRule="exact"/>
        <w:rPr>
          <w:rFonts w:hint="eastAsia" w:ascii="宋体" w:hAnsi="宋体" w:eastAsia="宋体"/>
          <w:sz w:val="28"/>
          <w:szCs w:val="28"/>
          <w:highlight w:val="none"/>
        </w:rPr>
      </w:pPr>
    </w:p>
    <w:p w14:paraId="2CDF4F58">
      <w:pPr>
        <w:spacing w:line="380" w:lineRule="exact"/>
        <w:jc w:val="center"/>
        <w:rPr>
          <w:rFonts w:hint="eastAsia" w:ascii="宋体" w:hAnsi="宋体" w:eastAsia="宋体"/>
          <w:b/>
          <w:sz w:val="28"/>
          <w:szCs w:val="28"/>
          <w:highlight w:val="none"/>
        </w:rPr>
      </w:pPr>
      <w:r>
        <w:rPr>
          <w:rFonts w:hint="eastAsia" w:ascii="宋体" w:hAnsi="宋体" w:eastAsia="宋体"/>
          <w:b/>
          <w:sz w:val="28"/>
          <w:szCs w:val="28"/>
          <w:highlight w:val="none"/>
        </w:rPr>
        <w:t>四、投标方案</w:t>
      </w:r>
    </w:p>
    <w:p w14:paraId="65EF0060">
      <w:pPr>
        <w:spacing w:line="380" w:lineRule="exact"/>
        <w:ind w:firstLine="560" w:firstLineChars="200"/>
        <w:rPr>
          <w:rFonts w:hint="eastAsia" w:ascii="宋体" w:hAnsi="宋体" w:eastAsia="宋体"/>
          <w:sz w:val="28"/>
          <w:szCs w:val="28"/>
          <w:highlight w:val="none"/>
        </w:rPr>
      </w:pPr>
    </w:p>
    <w:p w14:paraId="36F84066">
      <w:pPr>
        <w:tabs>
          <w:tab w:val="left" w:pos="1600"/>
        </w:tabs>
        <w:spacing w:line="560" w:lineRule="exact"/>
        <w:ind w:left="330" w:firstLine="240"/>
        <w:jc w:val="center"/>
        <w:rPr>
          <w:rFonts w:hint="eastAsia" w:ascii="宋体" w:hAnsi="宋体" w:eastAsia="宋体"/>
          <w:b/>
          <w:sz w:val="30"/>
          <w:szCs w:val="30"/>
          <w:highlight w:val="none"/>
        </w:rPr>
      </w:pPr>
      <w:r>
        <w:rPr>
          <w:rFonts w:hint="eastAsia" w:ascii="宋体" w:hAnsi="宋体" w:eastAsia="宋体"/>
          <w:b/>
          <w:sz w:val="30"/>
          <w:szCs w:val="30"/>
          <w:highlight w:val="none"/>
        </w:rPr>
        <w:t>五、投标人提交的其它材料</w:t>
      </w:r>
    </w:p>
    <w:p w14:paraId="54A4C802">
      <w:pPr>
        <w:spacing w:line="220" w:lineRule="atLeast"/>
        <w:rPr>
          <w:rFonts w:hint="eastAsia" w:ascii="宋体" w:hAnsi="宋体" w:eastAsia="宋体"/>
          <w:sz w:val="28"/>
          <w:szCs w:val="28"/>
          <w:highlight w:val="none"/>
        </w:rPr>
      </w:pPr>
    </w:p>
    <w:p w14:paraId="79C95254">
      <w:pPr>
        <w:rPr>
          <w:rFonts w:hint="eastAsia" w:ascii="宋体" w:hAnsi="宋体" w:eastAsia="宋体"/>
          <w:highlight w:val="none"/>
        </w:rPr>
      </w:pPr>
    </w:p>
    <w:p w14:paraId="214E4C93">
      <w:pPr>
        <w:rPr>
          <w:rFonts w:hint="eastAsia" w:ascii="宋体" w:hAnsi="宋体" w:eastAsia="宋体"/>
          <w:highlight w:val="none"/>
        </w:rPr>
      </w:pPr>
    </w:p>
    <w:p w14:paraId="0E0324B3">
      <w:pPr>
        <w:rPr>
          <w:rFonts w:hint="eastAsia" w:ascii="宋体" w:hAnsi="宋体" w:eastAsia="宋体"/>
          <w:highlight w:val="none"/>
        </w:rPr>
      </w:pPr>
    </w:p>
    <w:p w14:paraId="1F3226A8">
      <w:pPr>
        <w:rPr>
          <w:highlight w:val="none"/>
        </w:rPr>
      </w:pP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DA17C">
    <w:pPr>
      <w:rPr>
        <w:rFonts w:ascii="Times New Roman" w:hAnsi="Times New Roman" w:eastAsia="宋体"/>
        <w:sz w:val="18"/>
        <w:szCs w:val="18"/>
      </w:rPr>
    </w:pPr>
    <w:r>
      <w:rPr>
        <w:rFonts w:ascii="Tahoma" w:hAnsi="Tahoma" w:eastAsia="微软雅黑" w:cs="Times New Roman"/>
        <w:sz w:val="22"/>
        <w:szCs w:val="22"/>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258445"/>
              <wp:effectExtent l="0" t="0" r="0" b="0"/>
              <wp:wrapNone/>
              <wp:docPr id="1" name="文本框 1"/>
              <wp:cNvGraphicFramePr/>
              <a:graphic xmlns:a="http://schemas.openxmlformats.org/drawingml/2006/main">
                <a:graphicData uri="http://schemas.microsoft.com/office/word/2010/wordprocessingShape">
                  <wps:wsp>
                    <wps:cNvSpPr/>
                    <wps:spPr>
                      <a:xfrm>
                        <a:off x="0" y="0"/>
                        <a:ext cx="57785" cy="258445"/>
                      </a:xfrm>
                      <a:prstGeom prst="rect">
                        <a:avLst/>
                      </a:prstGeom>
                      <a:noFill/>
                      <a:ln>
                        <a:noFill/>
                      </a:ln>
                    </wps:spPr>
                    <wps:txbx>
                      <w:txbxContent>
                        <w:p w14:paraId="2451613E">
                          <w:pPr>
                            <w:rPr>
                              <w:rFonts w:ascii="Times New Roman" w:hAnsi="Times New Roman" w:eastAsia="宋体"/>
                              <w:sz w:val="18"/>
                              <w:szCs w:val="18"/>
                            </w:rPr>
                          </w:pPr>
                          <w:r>
                            <w:rPr>
                              <w:rFonts w:ascii="Times New Roman" w:hAnsi="Times New Roman" w:eastAsia="宋体"/>
                              <w:sz w:val="18"/>
                              <w:szCs w:val="18"/>
                            </w:rPr>
                            <w:fldChar w:fldCharType="begin"/>
                          </w:r>
                          <w:r>
                            <w:rPr>
                              <w:rFonts w:ascii="Times New Roman" w:hAnsi="Times New Roman" w:eastAsia="宋体"/>
                              <w:kern w:val="2"/>
                              <w:sz w:val="18"/>
                              <w:szCs w:val="18"/>
                            </w:rPr>
                            <w:instrText xml:space="preserve"> PAGE  \* MERGEFORMAT </w:instrText>
                          </w:r>
                          <w:r>
                            <w:rPr>
                              <w:rFonts w:ascii="Times New Roman" w:hAnsi="Times New Roman" w:eastAsia="宋体"/>
                              <w:sz w:val="18"/>
                              <w:szCs w:val="18"/>
                            </w:rPr>
                            <w:fldChar w:fldCharType="separate"/>
                          </w:r>
                          <w:r>
                            <w:rPr>
                              <w:rFonts w:ascii="Times New Roman" w:hAnsi="Times New Roman" w:eastAsia="宋体"/>
                              <w:sz w:val="18"/>
                              <w:szCs w:val="18"/>
                            </w:rPr>
                            <w:t>5</w:t>
                          </w:r>
                          <w:r>
                            <w:rPr>
                              <w:rFonts w:ascii="Times New Roman" w:hAnsi="Times New Roman" w:eastAsia="宋体"/>
                              <w:sz w:val="18"/>
                              <w:szCs w:val="18"/>
                            </w:rPr>
                            <w:fldChar w:fldCharType="end"/>
                          </w:r>
                        </w:p>
                      </w:txbxContent>
                    </wps:txbx>
                    <wps:bodyPr wrap="none" lIns="0" tIns="0" rIns="0" bIns="0" upright="0">
                      <a:spAutoFit/>
                    </wps:bodyPr>
                  </wps:wsp>
                </a:graphicData>
              </a:graphic>
            </wp:anchor>
          </w:drawing>
        </mc:Choice>
        <mc:Fallback>
          <w:pict>
            <v:rect id="文本框 1" o:spid="_x0000_s1026" o:spt="1" style="position:absolute;left:0pt;margin-top:0pt;height:20.35pt;width:4.55pt;mso-position-horizontal:center;mso-position-horizontal-relative:margin;mso-wrap-style:none;z-index:251659264;mso-width-relative:page;mso-height-relative:page;" filled="f" stroked="f" coordsize="21600,21600" o:gfxdata="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MTAqDRAAAAAgEAAA8AAAAAAAAAAQAgAAAAIgAAAGRycy9kb3ducmV2Lnht&#10;bFBLAQIUABQAAAAIAIdO4kAaPwU/xwEAAIwDAAAOAAAAAAAAAAEAIAAAACABAABkcnMvZTJvRG9j&#10;LnhtbFBLBQYAAAAABgAGAFkBAABZBQAAAAA=&#10;">
              <v:fill on="f" focussize="0,0"/>
              <v:stroke on="f"/>
              <v:imagedata o:title=""/>
              <o:lock v:ext="edit" aspectratio="f"/>
              <v:textbox inset="0mm,0mm,0mm,0mm" style="mso-fit-shape-to-text:t;">
                <w:txbxContent>
                  <w:p w14:paraId="2451613E">
                    <w:pPr>
                      <w:rPr>
                        <w:rFonts w:ascii="Times New Roman" w:hAnsi="Times New Roman" w:eastAsia="宋体"/>
                        <w:sz w:val="18"/>
                        <w:szCs w:val="18"/>
                      </w:rPr>
                    </w:pPr>
                    <w:r>
                      <w:rPr>
                        <w:rFonts w:ascii="Times New Roman" w:hAnsi="Times New Roman" w:eastAsia="宋体"/>
                        <w:sz w:val="18"/>
                        <w:szCs w:val="18"/>
                      </w:rPr>
                      <w:fldChar w:fldCharType="begin"/>
                    </w:r>
                    <w:r>
                      <w:rPr>
                        <w:rFonts w:ascii="Times New Roman" w:hAnsi="Times New Roman" w:eastAsia="宋体"/>
                        <w:kern w:val="2"/>
                        <w:sz w:val="18"/>
                        <w:szCs w:val="18"/>
                      </w:rPr>
                      <w:instrText xml:space="preserve"> PAGE  \* MERGEFORMAT </w:instrText>
                    </w:r>
                    <w:r>
                      <w:rPr>
                        <w:rFonts w:ascii="Times New Roman" w:hAnsi="Times New Roman" w:eastAsia="宋体"/>
                        <w:sz w:val="18"/>
                        <w:szCs w:val="18"/>
                      </w:rPr>
                      <w:fldChar w:fldCharType="separate"/>
                    </w:r>
                    <w:r>
                      <w:rPr>
                        <w:rFonts w:ascii="Times New Roman" w:hAnsi="Times New Roman" w:eastAsia="宋体"/>
                        <w:sz w:val="18"/>
                        <w:szCs w:val="18"/>
                      </w:rPr>
                      <w:t>5</w:t>
                    </w:r>
                    <w:r>
                      <w:rPr>
                        <w:rFonts w:ascii="Times New Roman" w:hAnsi="Times New Roman" w:eastAsia="宋体"/>
                        <w:sz w:val="18"/>
                        <w:szCs w:val="18"/>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B72CE5"/>
    <w:multiLevelType w:val="singleLevel"/>
    <w:tmpl w:val="FFB72CE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isplayHorizontalDrawingGridEvery w:val="1"/>
  <w:displayVerticalDrawingGridEvery w:val="1"/>
  <w:characterSpacingControl w:val="doNotCompress"/>
  <w:footnotePr>
    <w:footnote w:id="0"/>
    <w:footnote w:id="1"/>
  </w:footnotePr>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iYWRkZGMyNTA5NWU4NWIzYzk3MDA3YTY2NmI0N2QifQ=="/>
  </w:docVars>
  <w:rsids>
    <w:rsidRoot w:val="00000000"/>
    <w:rsid w:val="06737461"/>
    <w:rsid w:val="3580096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next w:val="1"/>
    <w:link w:val="28"/>
    <w:qFormat/>
    <w:uiPriority w:val="9"/>
    <w:pPr>
      <w:keepNext/>
      <w:keepLines/>
      <w:spacing w:before="480" w:after="80"/>
      <w:outlineLvl w:val="0"/>
    </w:pPr>
    <w:rPr>
      <w:rFonts w:ascii="Cambria" w:hAnsi="Cambria" w:eastAsia="宋体" w:cs="黑体"/>
      <w:color w:val="365F90"/>
      <w:sz w:val="48"/>
      <w:szCs w:val="48"/>
    </w:rPr>
  </w:style>
  <w:style w:type="paragraph" w:styleId="3">
    <w:name w:val="heading 2"/>
    <w:basedOn w:val="1"/>
    <w:next w:val="1"/>
    <w:link w:val="29"/>
    <w:semiHidden/>
    <w:unhideWhenUsed/>
    <w:qFormat/>
    <w:uiPriority w:val="9"/>
    <w:pPr>
      <w:keepNext/>
      <w:keepLines/>
      <w:spacing w:before="160" w:after="80"/>
      <w:outlineLvl w:val="1"/>
    </w:pPr>
    <w:rPr>
      <w:rFonts w:ascii="Cambria" w:hAnsi="Cambria" w:eastAsia="宋体" w:cs="黑体"/>
      <w:color w:val="365F90"/>
      <w:sz w:val="40"/>
      <w:szCs w:val="40"/>
    </w:rPr>
  </w:style>
  <w:style w:type="paragraph" w:styleId="4">
    <w:name w:val="heading 3"/>
    <w:basedOn w:val="1"/>
    <w:next w:val="1"/>
    <w:link w:val="30"/>
    <w:semiHidden/>
    <w:unhideWhenUsed/>
    <w:qFormat/>
    <w:uiPriority w:val="9"/>
    <w:pPr>
      <w:keepNext/>
      <w:keepLines/>
      <w:spacing w:before="160" w:after="80"/>
      <w:outlineLvl w:val="2"/>
    </w:pPr>
    <w:rPr>
      <w:rFonts w:ascii="Cambria" w:hAnsi="Cambria" w:eastAsia="宋体" w:cs="黑体"/>
      <w:color w:val="365F90"/>
      <w:sz w:val="32"/>
      <w:szCs w:val="32"/>
    </w:rPr>
  </w:style>
  <w:style w:type="paragraph" w:styleId="5">
    <w:name w:val="heading 4"/>
    <w:basedOn w:val="1"/>
    <w:next w:val="1"/>
    <w:link w:val="31"/>
    <w:semiHidden/>
    <w:unhideWhenUsed/>
    <w:qFormat/>
    <w:uiPriority w:val="9"/>
    <w:pPr>
      <w:keepNext/>
      <w:keepLines/>
      <w:spacing w:before="80" w:after="40"/>
      <w:outlineLvl w:val="3"/>
    </w:pPr>
    <w:rPr>
      <w:rFonts w:cs="黑体"/>
      <w:color w:val="365F90"/>
      <w:sz w:val="28"/>
      <w:szCs w:val="28"/>
    </w:rPr>
  </w:style>
  <w:style w:type="paragraph" w:styleId="6">
    <w:name w:val="heading 5"/>
    <w:basedOn w:val="1"/>
    <w:next w:val="1"/>
    <w:link w:val="32"/>
    <w:semiHidden/>
    <w:unhideWhenUsed/>
    <w:qFormat/>
    <w:uiPriority w:val="9"/>
    <w:pPr>
      <w:keepNext/>
      <w:keepLines/>
      <w:spacing w:before="80" w:after="40"/>
      <w:outlineLvl w:val="4"/>
    </w:pPr>
    <w:rPr>
      <w:rFonts w:cs="黑体"/>
      <w:color w:val="365F90"/>
      <w:sz w:val="24"/>
      <w:szCs w:val="24"/>
    </w:rPr>
  </w:style>
  <w:style w:type="paragraph" w:styleId="7">
    <w:name w:val="heading 6"/>
    <w:basedOn w:val="1"/>
    <w:next w:val="1"/>
    <w:link w:val="33"/>
    <w:semiHidden/>
    <w:unhideWhenUsed/>
    <w:qFormat/>
    <w:uiPriority w:val="9"/>
    <w:pPr>
      <w:keepNext/>
      <w:keepLines/>
      <w:spacing w:before="40"/>
      <w:outlineLvl w:val="5"/>
    </w:pPr>
    <w:rPr>
      <w:rFonts w:cs="黑体"/>
      <w:b/>
      <w:bCs/>
      <w:color w:val="365F90"/>
    </w:rPr>
  </w:style>
  <w:style w:type="paragraph" w:styleId="8">
    <w:name w:val="heading 7"/>
    <w:basedOn w:val="1"/>
    <w:next w:val="1"/>
    <w:link w:val="34"/>
    <w:semiHidden/>
    <w:unhideWhenUsed/>
    <w:qFormat/>
    <w:uiPriority w:val="9"/>
    <w:pPr>
      <w:keepNext/>
      <w:keepLines/>
      <w:spacing w:before="40"/>
      <w:outlineLvl w:val="6"/>
    </w:pPr>
    <w:rPr>
      <w:rFonts w:cs="黑体"/>
      <w:b/>
      <w:bCs/>
      <w:color w:val="565656"/>
    </w:rPr>
  </w:style>
  <w:style w:type="paragraph" w:styleId="9">
    <w:name w:val="heading 8"/>
    <w:basedOn w:val="1"/>
    <w:next w:val="1"/>
    <w:link w:val="35"/>
    <w:semiHidden/>
    <w:unhideWhenUsed/>
    <w:qFormat/>
    <w:uiPriority w:val="9"/>
    <w:pPr>
      <w:keepNext/>
      <w:keepLines/>
      <w:outlineLvl w:val="7"/>
    </w:pPr>
    <w:rPr>
      <w:rFonts w:cs="黑体"/>
      <w:color w:val="565656"/>
    </w:rPr>
  </w:style>
  <w:style w:type="paragraph" w:styleId="10">
    <w:name w:val="heading 9"/>
    <w:basedOn w:val="1"/>
    <w:next w:val="1"/>
    <w:link w:val="36"/>
    <w:semiHidden/>
    <w:unhideWhenUsed/>
    <w:qFormat/>
    <w:uiPriority w:val="9"/>
    <w:pPr>
      <w:keepNext/>
      <w:keepLines/>
      <w:outlineLvl w:val="8"/>
    </w:pPr>
    <w:rPr>
      <w:rFonts w:eastAsia="宋体" w:cs="黑体"/>
      <w:color w:val="565656"/>
    </w:rPr>
  </w:style>
  <w:style w:type="character" w:default="1" w:styleId="21">
    <w:name w:val="Default Paragraph Font"/>
    <w:semiHidden/>
    <w:unhideWhenUsed/>
    <w:qFormat/>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11">
    <w:name w:val="Normal Indent"/>
    <w:basedOn w:val="1"/>
    <w:link w:val="48"/>
    <w:qFormat/>
    <w:uiPriority w:val="0"/>
    <w:pPr>
      <w:adjustRightInd/>
      <w:snapToGrid/>
      <w:spacing w:after="0"/>
      <w:ind w:firstLine="420"/>
    </w:pPr>
    <w:rPr>
      <w:rFonts w:ascii="Times New Roman" w:hAnsi="Times New Roman" w:eastAsia="宋体"/>
      <w:sz w:val="20"/>
      <w:szCs w:val="20"/>
    </w:rPr>
  </w:style>
  <w:style w:type="paragraph" w:styleId="12">
    <w:name w:val="Body Text"/>
    <w:basedOn w:val="1"/>
    <w:link w:val="45"/>
    <w:semiHidden/>
    <w:unhideWhenUsed/>
    <w:qFormat/>
    <w:uiPriority w:val="99"/>
    <w:pPr>
      <w:spacing w:after="120"/>
    </w:pPr>
  </w:style>
  <w:style w:type="paragraph" w:styleId="13">
    <w:name w:val="footer"/>
    <w:basedOn w:val="1"/>
    <w:link w:val="44"/>
    <w:unhideWhenUsed/>
    <w:qFormat/>
    <w:uiPriority w:val="99"/>
    <w:pPr>
      <w:tabs>
        <w:tab w:val="center" w:pos="4153"/>
        <w:tab w:val="right" w:pos="8306"/>
      </w:tabs>
    </w:pPr>
    <w:rPr>
      <w:sz w:val="18"/>
      <w:szCs w:val="18"/>
    </w:rPr>
  </w:style>
  <w:style w:type="paragraph" w:styleId="14">
    <w:name w:val="header"/>
    <w:basedOn w:val="1"/>
    <w:link w:val="43"/>
    <w:unhideWhenUsed/>
    <w:qFormat/>
    <w:uiPriority w:val="99"/>
    <w:pPr>
      <w:tabs>
        <w:tab w:val="center" w:pos="4153"/>
        <w:tab w:val="right" w:pos="8306"/>
      </w:tabs>
      <w:jc w:val="center"/>
    </w:pPr>
    <w:rPr>
      <w:sz w:val="18"/>
      <w:szCs w:val="18"/>
    </w:rPr>
  </w:style>
  <w:style w:type="paragraph" w:styleId="15">
    <w:name w:val="Subtitle"/>
    <w:basedOn w:val="1"/>
    <w:next w:val="1"/>
    <w:link w:val="38"/>
    <w:qFormat/>
    <w:uiPriority w:val="11"/>
    <w:pPr>
      <w:spacing w:after="160"/>
      <w:jc w:val="center"/>
    </w:pPr>
    <w:rPr>
      <w:rFonts w:ascii="Cambria" w:hAnsi="Cambria" w:eastAsia="宋体" w:cs="黑体"/>
      <w:color w:val="565656"/>
      <w:spacing w:val="15"/>
      <w:sz w:val="28"/>
      <w:szCs w:val="28"/>
    </w:rPr>
  </w:style>
  <w:style w:type="paragraph" w:styleId="16">
    <w:name w:val="Body Text 2"/>
    <w:basedOn w:val="1"/>
    <w:link w:val="46"/>
    <w:qFormat/>
    <w:uiPriority w:val="0"/>
    <w:pPr>
      <w:spacing w:after="120" w:line="480" w:lineRule="auto"/>
    </w:pPr>
  </w:style>
  <w:style w:type="paragraph" w:styleId="17">
    <w:name w:val="HTML Preformatted"/>
    <w:basedOn w:val="1"/>
    <w:link w:val="47"/>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sz w:val="24"/>
      <w:szCs w:val="24"/>
    </w:rPr>
  </w:style>
  <w:style w:type="paragraph" w:styleId="18">
    <w:name w:val="Normal (Web)"/>
    <w:basedOn w:val="1"/>
    <w:unhideWhenUsed/>
    <w:qFormat/>
    <w:uiPriority w:val="99"/>
    <w:pPr>
      <w:spacing w:before="100" w:beforeAutospacing="1" w:after="100" w:afterAutospacing="1"/>
    </w:pPr>
    <w:rPr>
      <w:sz w:val="24"/>
    </w:rPr>
  </w:style>
  <w:style w:type="paragraph" w:styleId="19">
    <w:name w:val="Title"/>
    <w:basedOn w:val="1"/>
    <w:next w:val="1"/>
    <w:link w:val="37"/>
    <w:qFormat/>
    <w:uiPriority w:val="10"/>
    <w:pPr>
      <w:spacing w:after="80"/>
      <w:contextualSpacing/>
      <w:jc w:val="center"/>
    </w:pPr>
    <w:rPr>
      <w:rFonts w:ascii="Cambria" w:hAnsi="Cambria" w:eastAsia="宋体" w:cs="黑体"/>
      <w:spacing w:val="-10"/>
      <w:kern w:val="28"/>
      <w:sz w:val="56"/>
      <w:szCs w:val="56"/>
    </w:rPr>
  </w:style>
  <w:style w:type="character" w:styleId="22">
    <w:name w:val="Strong"/>
    <w:qFormat/>
    <w:uiPriority w:val="0"/>
    <w:rPr>
      <w:b/>
    </w:rPr>
  </w:style>
  <w:style w:type="character" w:styleId="23">
    <w:name w:val="Hyperlink"/>
    <w:basedOn w:val="21"/>
    <w:qFormat/>
    <w:uiPriority w:val="0"/>
    <w:rPr>
      <w:color w:val="0000FF"/>
      <w:u w:val="single"/>
    </w:rPr>
  </w:style>
  <w:style w:type="paragraph" w:customStyle="1" w:styleId="24">
    <w:name w:val="Quote"/>
    <w:basedOn w:val="1"/>
    <w:next w:val="1"/>
    <w:link w:val="39"/>
    <w:qFormat/>
    <w:uiPriority w:val="29"/>
    <w:pPr>
      <w:spacing w:before="160" w:after="160"/>
      <w:jc w:val="center"/>
    </w:pPr>
    <w:rPr>
      <w:i/>
      <w:iCs/>
      <w:color w:val="3F3F3F"/>
    </w:rPr>
  </w:style>
  <w:style w:type="paragraph" w:customStyle="1" w:styleId="25">
    <w:name w:val="List Paragraph"/>
    <w:basedOn w:val="1"/>
    <w:qFormat/>
    <w:uiPriority w:val="99"/>
    <w:pPr>
      <w:ind w:left="720"/>
      <w:contextualSpacing/>
    </w:pPr>
  </w:style>
  <w:style w:type="paragraph" w:customStyle="1" w:styleId="26">
    <w:name w:val="Intense Quote"/>
    <w:basedOn w:val="1"/>
    <w:next w:val="1"/>
    <w:link w:val="41"/>
    <w:qFormat/>
    <w:uiPriority w:val="30"/>
    <w:pPr>
      <w:pBdr>
        <w:top w:val="single" w:color="366091" w:sz="4" w:space="10"/>
        <w:bottom w:val="single" w:color="366091" w:sz="4" w:space="10"/>
      </w:pBdr>
      <w:spacing w:before="360" w:after="360"/>
      <w:ind w:left="864" w:right="864"/>
      <w:jc w:val="center"/>
    </w:pPr>
    <w:rPr>
      <w:i/>
      <w:iCs/>
      <w:color w:val="365F90"/>
    </w:rPr>
  </w:style>
  <w:style w:type="paragraph" w:customStyle="1" w:styleId="27">
    <w:name w:val="null3"/>
    <w:qFormat/>
    <w:uiPriority w:val="0"/>
    <w:rPr>
      <w:rFonts w:hint="eastAsia" w:ascii="Calibri" w:hAnsi="Calibri" w:eastAsia="宋体" w:cs="Times New Roman"/>
      <w:lang w:val="en-US" w:eastAsia="zh-CN" w:bidi="ar-SA"/>
    </w:rPr>
  </w:style>
  <w:style w:type="character" w:customStyle="1" w:styleId="28">
    <w:name w:val="标题 1 字符"/>
    <w:basedOn w:val="21"/>
    <w:link w:val="2"/>
    <w:qFormat/>
    <w:uiPriority w:val="9"/>
    <w:rPr>
      <w:rFonts w:ascii="Cambria" w:hAnsi="Cambria" w:eastAsia="宋体" w:cs="黑体"/>
      <w:color w:val="365F90"/>
      <w:sz w:val="48"/>
      <w:szCs w:val="48"/>
    </w:rPr>
  </w:style>
  <w:style w:type="character" w:customStyle="1" w:styleId="29">
    <w:name w:val="标题 2 字符"/>
    <w:basedOn w:val="21"/>
    <w:link w:val="3"/>
    <w:qFormat/>
    <w:uiPriority w:val="9"/>
    <w:rPr>
      <w:rFonts w:ascii="Cambria" w:hAnsi="Cambria" w:eastAsia="宋体" w:cs="黑体"/>
      <w:color w:val="365F90"/>
      <w:sz w:val="40"/>
      <w:szCs w:val="40"/>
    </w:rPr>
  </w:style>
  <w:style w:type="character" w:customStyle="1" w:styleId="30">
    <w:name w:val="标题 3 字符"/>
    <w:basedOn w:val="21"/>
    <w:link w:val="4"/>
    <w:qFormat/>
    <w:uiPriority w:val="9"/>
    <w:rPr>
      <w:rFonts w:ascii="Cambria" w:hAnsi="Cambria" w:eastAsia="宋体" w:cs="黑体"/>
      <w:color w:val="365F90"/>
      <w:sz w:val="32"/>
      <w:szCs w:val="32"/>
    </w:rPr>
  </w:style>
  <w:style w:type="character" w:customStyle="1" w:styleId="31">
    <w:name w:val="标题 4 字符"/>
    <w:basedOn w:val="21"/>
    <w:link w:val="5"/>
    <w:qFormat/>
    <w:uiPriority w:val="9"/>
    <w:rPr>
      <w:rFonts w:cs="黑体"/>
      <w:color w:val="365F90"/>
      <w:sz w:val="28"/>
      <w:szCs w:val="28"/>
    </w:rPr>
  </w:style>
  <w:style w:type="character" w:customStyle="1" w:styleId="32">
    <w:name w:val="标题 5 字符"/>
    <w:basedOn w:val="21"/>
    <w:link w:val="6"/>
    <w:qFormat/>
    <w:uiPriority w:val="9"/>
    <w:rPr>
      <w:rFonts w:cs="黑体"/>
      <w:color w:val="365F90"/>
      <w:sz w:val="24"/>
      <w:szCs w:val="24"/>
    </w:rPr>
  </w:style>
  <w:style w:type="character" w:customStyle="1" w:styleId="33">
    <w:name w:val="标题 6 字符"/>
    <w:basedOn w:val="21"/>
    <w:link w:val="7"/>
    <w:qFormat/>
    <w:uiPriority w:val="9"/>
    <w:rPr>
      <w:rFonts w:cs="黑体"/>
      <w:b/>
      <w:bCs/>
      <w:color w:val="365F90"/>
    </w:rPr>
  </w:style>
  <w:style w:type="character" w:customStyle="1" w:styleId="34">
    <w:name w:val="标题 7 字符"/>
    <w:basedOn w:val="21"/>
    <w:link w:val="8"/>
    <w:uiPriority w:val="9"/>
    <w:rPr>
      <w:rFonts w:cs="黑体"/>
      <w:b/>
      <w:bCs/>
      <w:color w:val="565656"/>
    </w:rPr>
  </w:style>
  <w:style w:type="character" w:customStyle="1" w:styleId="35">
    <w:name w:val="标题 8 字符"/>
    <w:basedOn w:val="21"/>
    <w:link w:val="9"/>
    <w:qFormat/>
    <w:uiPriority w:val="9"/>
    <w:rPr>
      <w:rFonts w:cs="黑体"/>
      <w:color w:val="565656"/>
    </w:rPr>
  </w:style>
  <w:style w:type="character" w:customStyle="1" w:styleId="36">
    <w:name w:val="标题 9 字符"/>
    <w:basedOn w:val="21"/>
    <w:link w:val="10"/>
    <w:qFormat/>
    <w:uiPriority w:val="9"/>
    <w:rPr>
      <w:rFonts w:eastAsia="宋体" w:cs="黑体"/>
      <w:color w:val="565656"/>
    </w:rPr>
  </w:style>
  <w:style w:type="character" w:customStyle="1" w:styleId="37">
    <w:name w:val="标题 字符"/>
    <w:basedOn w:val="21"/>
    <w:link w:val="19"/>
    <w:qFormat/>
    <w:uiPriority w:val="10"/>
    <w:rPr>
      <w:rFonts w:ascii="Cambria" w:hAnsi="Cambria" w:eastAsia="宋体" w:cs="黑体"/>
      <w:spacing w:val="-10"/>
      <w:kern w:val="28"/>
      <w:sz w:val="56"/>
      <w:szCs w:val="56"/>
    </w:rPr>
  </w:style>
  <w:style w:type="character" w:customStyle="1" w:styleId="38">
    <w:name w:val="副标题 字符"/>
    <w:basedOn w:val="21"/>
    <w:link w:val="15"/>
    <w:qFormat/>
    <w:uiPriority w:val="11"/>
    <w:rPr>
      <w:rFonts w:ascii="Cambria" w:hAnsi="Cambria" w:eastAsia="宋体" w:cs="黑体"/>
      <w:color w:val="565656"/>
      <w:spacing w:val="15"/>
      <w:sz w:val="28"/>
      <w:szCs w:val="28"/>
    </w:rPr>
  </w:style>
  <w:style w:type="character" w:customStyle="1" w:styleId="39">
    <w:name w:val="引用 字符"/>
    <w:basedOn w:val="21"/>
    <w:link w:val="24"/>
    <w:qFormat/>
    <w:uiPriority w:val="29"/>
    <w:rPr>
      <w:i/>
      <w:iCs/>
      <w:color w:val="3F3F3F"/>
    </w:rPr>
  </w:style>
  <w:style w:type="character" w:customStyle="1" w:styleId="40">
    <w:name w:val="明显强调1"/>
    <w:basedOn w:val="21"/>
    <w:qFormat/>
    <w:uiPriority w:val="21"/>
    <w:rPr>
      <w:i/>
      <w:iCs/>
      <w:color w:val="365F90"/>
    </w:rPr>
  </w:style>
  <w:style w:type="character" w:customStyle="1" w:styleId="41">
    <w:name w:val="明显引用 字符"/>
    <w:basedOn w:val="21"/>
    <w:link w:val="26"/>
    <w:qFormat/>
    <w:uiPriority w:val="30"/>
    <w:rPr>
      <w:i/>
      <w:iCs/>
      <w:color w:val="365F90"/>
    </w:rPr>
  </w:style>
  <w:style w:type="character" w:customStyle="1" w:styleId="42">
    <w:name w:val="明显参考1"/>
    <w:basedOn w:val="21"/>
    <w:qFormat/>
    <w:uiPriority w:val="32"/>
    <w:rPr>
      <w:b/>
      <w:bCs/>
      <w:smallCaps/>
      <w:color w:val="365F90"/>
      <w:spacing w:val="5"/>
    </w:rPr>
  </w:style>
  <w:style w:type="character" w:customStyle="1" w:styleId="43">
    <w:name w:val="页眉 字符"/>
    <w:basedOn w:val="21"/>
    <w:link w:val="14"/>
    <w:qFormat/>
    <w:uiPriority w:val="99"/>
    <w:rPr>
      <w:sz w:val="18"/>
      <w:szCs w:val="18"/>
    </w:rPr>
  </w:style>
  <w:style w:type="character" w:customStyle="1" w:styleId="44">
    <w:name w:val="页脚 字符"/>
    <w:basedOn w:val="21"/>
    <w:link w:val="13"/>
    <w:qFormat/>
    <w:uiPriority w:val="99"/>
    <w:rPr>
      <w:sz w:val="18"/>
      <w:szCs w:val="18"/>
    </w:rPr>
  </w:style>
  <w:style w:type="character" w:customStyle="1" w:styleId="45">
    <w:name w:val="正文文本 字符"/>
    <w:basedOn w:val="21"/>
    <w:link w:val="12"/>
    <w:uiPriority w:val="99"/>
    <w:rPr>
      <w:rFonts w:ascii="Tahoma" w:hAnsi="Tahoma" w:eastAsia="微软雅黑" w:cs="Times New Roman"/>
      <w:kern w:val="0"/>
      <w:sz w:val="22"/>
    </w:rPr>
  </w:style>
  <w:style w:type="character" w:customStyle="1" w:styleId="46">
    <w:name w:val="正文文本 2 字符"/>
    <w:basedOn w:val="21"/>
    <w:link w:val="16"/>
    <w:qFormat/>
    <w:uiPriority w:val="0"/>
    <w:rPr>
      <w:rFonts w:ascii="Tahoma" w:hAnsi="Tahoma" w:eastAsia="微软雅黑" w:cs="Times New Roman"/>
      <w:kern w:val="0"/>
      <w:sz w:val="22"/>
    </w:rPr>
  </w:style>
  <w:style w:type="character" w:customStyle="1" w:styleId="47">
    <w:name w:val="HTML 预设格式 字符"/>
    <w:basedOn w:val="21"/>
    <w:link w:val="17"/>
    <w:qFormat/>
    <w:uiPriority w:val="0"/>
    <w:rPr>
      <w:rFonts w:ascii="宋体" w:hAnsi="宋体" w:eastAsia="宋体" w:cs="Times New Roman"/>
      <w:kern w:val="0"/>
      <w:sz w:val="24"/>
      <w:szCs w:val="24"/>
    </w:rPr>
  </w:style>
  <w:style w:type="character" w:customStyle="1" w:styleId="48">
    <w:name w:val="正文缩进 字符"/>
    <w:link w:val="11"/>
    <w:qFormat/>
    <w:uiPriority w:val="0"/>
    <w:rPr>
      <w:rFonts w:ascii="Times New Roman" w:hAnsi="Times New Roman" w:eastAsia="宋体" w:cs="Times New Roman"/>
      <w:kern w:val="0"/>
      <w:sz w:val="20"/>
      <w:szCs w:val="20"/>
    </w:rPr>
  </w:style>
  <w:style w:type="character" w:customStyle="1" w:styleId="49">
    <w:name w:val="p782mv11s"/>
    <w:basedOn w:val="2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7091</Words>
  <Characters>7654</Characters>
  <Lines>58</Lines>
  <Paragraphs>16</Paragraphs>
  <TotalTime>192</TotalTime>
  <ScaleCrop>false</ScaleCrop>
  <LinksUpToDate>false</LinksUpToDate>
  <CharactersWithSpaces>7794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2024-09-30T07:46:00Z</dcterms:created>
  <dc:creator>Admin</dc:creator>
  <cp:lastModifiedBy>miracle</cp:lastModifiedBy>
  <dcterms:modified xsi:type="dcterms:W3CDTF">2024-10-18T03:40:07Z</dcterms:modified>
  <dc:title>福建省肿瘤医院电梯物联网监控采购</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190A6CEDC80041A880DC68C5BA5FEEE4_13</vt:lpwstr>
  </property>
</Properties>
</file>