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4DC81">
      <w:pPr>
        <w:adjustRightInd/>
        <w:snapToGrid/>
        <w:spacing w:after="0" w:line="480" w:lineRule="atLeast"/>
        <w:jc w:val="center"/>
        <w:rPr>
          <w:rFonts w:hint="eastAsia" w:ascii="黑体" w:hAnsi="黑体" w:eastAsia="黑体" w:cs="宋体"/>
          <w:b/>
          <w:bCs/>
          <w:color w:val="404040"/>
          <w:sz w:val="26"/>
        </w:rPr>
      </w:pPr>
      <w:r>
        <w:rPr>
          <w:rFonts w:hint="eastAsia" w:ascii="宋体" w:hAnsi="宋体" w:eastAsia="宋体" w:cs="宋体"/>
          <w:b/>
          <w:bCs/>
          <w:sz w:val="32"/>
          <w:szCs w:val="32"/>
          <w:lang w:eastAsia="zh-CN"/>
        </w:rPr>
        <w:t>福建省肿瘤医院内河驳岸边防护栏杆</w:t>
      </w:r>
      <w:r>
        <w:rPr>
          <w:rFonts w:hint="eastAsia" w:ascii="宋体" w:hAnsi="宋体" w:eastAsia="宋体" w:cs="宋体"/>
          <w:b/>
          <w:bCs/>
          <w:sz w:val="32"/>
          <w:szCs w:val="32"/>
        </w:rPr>
        <w:t>项目招标文件</w:t>
      </w:r>
    </w:p>
    <w:p w14:paraId="4E78A109">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一、招标项目概况和范围</w:t>
      </w:r>
    </w:p>
    <w:p w14:paraId="2F9FA30D">
      <w:pPr>
        <w:adjustRightInd/>
        <w:snapToGrid/>
        <w:spacing w:after="0" w:line="480" w:lineRule="atLeast"/>
        <w:ind w:firstLine="390" w:firstLineChars="150"/>
        <w:rPr>
          <w:rFonts w:hint="eastAsia" w:ascii="宋体" w:hAnsi="宋体" w:eastAsia="宋体" w:cs="宋体"/>
          <w:color w:val="404040"/>
          <w:sz w:val="26"/>
          <w:szCs w:val="26"/>
        </w:rPr>
      </w:pPr>
      <w:r>
        <w:rPr>
          <w:rFonts w:hint="eastAsia" w:ascii="宋体" w:hAnsi="宋体" w:eastAsia="宋体" w:cs="宋体"/>
          <w:color w:val="404040"/>
          <w:sz w:val="26"/>
          <w:szCs w:val="26"/>
        </w:rPr>
        <w:t>1、项目名称：</w:t>
      </w:r>
      <w:r>
        <w:rPr>
          <w:rFonts w:hint="eastAsia" w:ascii="宋体" w:hAnsi="宋体" w:eastAsia="宋体" w:cs="宋体"/>
          <w:color w:val="404040"/>
          <w:sz w:val="26"/>
          <w:szCs w:val="26"/>
          <w:lang w:eastAsia="zh-CN"/>
        </w:rPr>
        <w:t>福建省肿瘤医院</w:t>
      </w:r>
      <w:r>
        <w:rPr>
          <w:rFonts w:hint="eastAsia" w:ascii="宋体" w:hAnsi="宋体" w:eastAsia="宋体" w:cs="宋体"/>
          <w:color w:val="404040"/>
          <w:sz w:val="26"/>
          <w:szCs w:val="26"/>
        </w:rPr>
        <w:t>内河驳岸边防护栏杆</w:t>
      </w:r>
    </w:p>
    <w:p w14:paraId="3E1BF79E">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2、工程地点：福马路420号。</w:t>
      </w:r>
    </w:p>
    <w:p w14:paraId="36A9A285">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3、招标范围和内容：本项目招标工程量清单内全部内容。</w:t>
      </w:r>
    </w:p>
    <w:p w14:paraId="388EB5FA">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4、承包方式：包工包料。</w:t>
      </w:r>
    </w:p>
    <w:p w14:paraId="10F2CF82">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5、工期要求：合同签订后，接甲方通知后</w:t>
      </w:r>
      <w:r>
        <w:rPr>
          <w:rFonts w:hint="eastAsia" w:ascii="宋体" w:hAnsi="宋体" w:eastAsia="宋体" w:cs="宋体"/>
          <w:color w:val="404040"/>
          <w:sz w:val="26"/>
          <w:szCs w:val="26"/>
          <w:lang w:val="en-US" w:eastAsia="zh-CN"/>
        </w:rPr>
        <w:t>30</w:t>
      </w:r>
      <w:r>
        <w:rPr>
          <w:rFonts w:hint="eastAsia" w:ascii="宋体" w:hAnsi="宋体" w:eastAsia="宋体" w:cs="宋体"/>
          <w:color w:val="404040"/>
          <w:sz w:val="26"/>
          <w:szCs w:val="26"/>
        </w:rPr>
        <w:t>日内完工，且要求不影响医院的正常工作。</w:t>
      </w:r>
    </w:p>
    <w:p w14:paraId="570D00AA">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6、工程质量要求：符合《工程施工质量验收规范》合格标准。</w:t>
      </w:r>
    </w:p>
    <w:p w14:paraId="763FC5E0">
      <w:pPr>
        <w:adjustRightInd/>
        <w:snapToGrid/>
        <w:spacing w:before="150" w:after="0" w:line="480" w:lineRule="atLeast"/>
        <w:ind w:firstLine="450"/>
        <w:jc w:val="both"/>
        <w:rPr>
          <w:rFonts w:ascii="宋体" w:hAnsi="宋体" w:eastAsia="宋体" w:cs="宋体"/>
          <w:b/>
          <w:color w:val="404040"/>
          <w:sz w:val="26"/>
          <w:szCs w:val="26"/>
        </w:rPr>
      </w:pPr>
      <w:r>
        <w:rPr>
          <w:rFonts w:hint="eastAsia" w:ascii="宋体" w:hAnsi="宋体" w:eastAsia="宋体" w:cs="宋体"/>
          <w:color w:val="404040"/>
          <w:sz w:val="26"/>
          <w:szCs w:val="26"/>
        </w:rPr>
        <w:t>7、控制价：</w:t>
      </w:r>
      <w:r>
        <w:rPr>
          <w:rFonts w:hint="eastAsia" w:ascii="宋体" w:hAnsi="宋体" w:eastAsia="宋体" w:cs="宋体"/>
          <w:color w:val="404040"/>
          <w:sz w:val="26"/>
          <w:szCs w:val="26"/>
          <w:lang w:val="en-US" w:eastAsia="zh-CN"/>
        </w:rPr>
        <w:t>125221</w:t>
      </w:r>
      <w:r>
        <w:rPr>
          <w:rFonts w:hint="eastAsia" w:ascii="宋体" w:hAnsi="宋体" w:eastAsia="宋体" w:cs="宋体"/>
          <w:color w:val="404040"/>
          <w:sz w:val="26"/>
          <w:szCs w:val="26"/>
        </w:rPr>
        <w:t>元。</w:t>
      </w:r>
    </w:p>
    <w:p w14:paraId="2F9D079F">
      <w:pPr>
        <w:adjustRightInd/>
        <w:snapToGrid/>
        <w:spacing w:before="150" w:after="0" w:line="480" w:lineRule="atLeast"/>
        <w:ind w:firstLine="45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8、质保期：贰年，自工程竣工验收合格之日算起。</w:t>
      </w:r>
    </w:p>
    <w:p w14:paraId="102A4FE8">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二、投标人资格要求及审查办法</w:t>
      </w:r>
    </w:p>
    <w:p w14:paraId="3B85B463">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72BDFB33">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落实政府采购政策需满足的资格要求。</w:t>
      </w:r>
    </w:p>
    <w:p w14:paraId="3B09A408">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企业资质：供应商须具备有效的建筑装修装饰工程专业承包二级及以上资质，并且具备《施工企业安全生产许可证》。</w:t>
      </w:r>
    </w:p>
    <w:p w14:paraId="7B628848">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19C57393">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r>
        <w:rPr>
          <w:rFonts w:hint="eastAsia" w:ascii="宋体" w:hAnsi="宋体" w:eastAsia="宋体" w:cs="宋体"/>
          <w:color w:val="404040"/>
          <w:sz w:val="26"/>
          <w:szCs w:val="26"/>
          <w:lang w:eastAsia="zh-CN"/>
        </w:rPr>
        <w:t>。</w:t>
      </w:r>
    </w:p>
    <w:p w14:paraId="6481570B">
      <w:pPr>
        <w:pStyle w:val="2"/>
      </w:pPr>
    </w:p>
    <w:p w14:paraId="1A06B263">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16B4C5B8">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44BBAF26">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39EF8E11">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 HYPERLINK "http://www.creditchina.gov.cn/" </w:instrText>
      </w:r>
      <w:r>
        <w:fldChar w:fldCharType="separate"/>
      </w:r>
      <w:r>
        <w:rPr>
          <w:rStyle w:val="15"/>
          <w:rFonts w:hint="eastAsia" w:ascii="宋体" w:hAnsi="宋体" w:eastAsia="宋体" w:cs="宋体"/>
          <w:sz w:val="26"/>
          <w:szCs w:val="26"/>
        </w:rPr>
        <w:t>www.creditchina.gov.cn</w:t>
      </w:r>
      <w:r>
        <w:rPr>
          <w:rStyle w:val="15"/>
          <w:rFonts w:hint="eastAsia" w:ascii="宋体" w:hAnsi="宋体" w:eastAsia="宋体" w:cs="宋体"/>
          <w:sz w:val="26"/>
          <w:szCs w:val="26"/>
        </w:rPr>
        <w:fldChar w:fldCharType="end"/>
      </w:r>
      <w:r>
        <w:rPr>
          <w:rFonts w:hint="eastAsia" w:ascii="宋体" w:hAnsi="宋体" w:eastAsia="宋体" w:cs="宋体"/>
          <w:color w:val="404040"/>
          <w:sz w:val="26"/>
          <w:szCs w:val="26"/>
        </w:rPr>
        <w:t>)”、“中国政府采购网(</w:t>
      </w:r>
      <w:r>
        <w:fldChar w:fldCharType="begin"/>
      </w:r>
      <w:r>
        <w:instrText xml:space="preserve"> HYPERLINK "http://www.ccgp.gov.cn" </w:instrText>
      </w:r>
      <w:r>
        <w:fldChar w:fldCharType="separate"/>
      </w:r>
      <w:r>
        <w:rPr>
          <w:rStyle w:val="15"/>
          <w:rFonts w:hint="eastAsia" w:ascii="宋体" w:hAnsi="宋体" w:eastAsia="宋体" w:cs="宋体"/>
          <w:sz w:val="26"/>
          <w:szCs w:val="26"/>
        </w:rPr>
        <w:t>www.ccgp.gov.cn</w:t>
      </w:r>
      <w:r>
        <w:rPr>
          <w:rStyle w:val="15"/>
          <w:rFonts w:hint="eastAsia" w:ascii="宋体" w:hAnsi="宋体" w:eastAsia="宋体" w:cs="宋体"/>
          <w:sz w:val="26"/>
          <w:szCs w:val="26"/>
        </w:rPr>
        <w:fldChar w:fldCharType="end"/>
      </w:r>
      <w:r>
        <w:rPr>
          <w:rFonts w:hint="eastAsia" w:ascii="宋体" w:hAnsi="宋体" w:eastAsia="宋体" w:cs="宋体"/>
          <w:color w:val="404040"/>
          <w:sz w:val="26"/>
          <w:szCs w:val="26"/>
        </w:rPr>
        <w:t>)”查询并打印相应的信用记录。</w:t>
      </w:r>
    </w:p>
    <w:p w14:paraId="2D9678E1">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460C3898">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现场勘察：本次招标，采购人不统一组织勘察现场。各潜在投标人若需要查勘现场，应事先与采购人联系现场勘察事宜。</w:t>
      </w:r>
    </w:p>
    <w:p w14:paraId="48CE6151">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14:paraId="4F85D219">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三、招标文件的获取</w:t>
      </w:r>
    </w:p>
    <w:p w14:paraId="4BE38403">
      <w:pPr>
        <w:adjustRightInd/>
        <w:snapToGrid/>
        <w:spacing w:before="150" w:after="0" w:line="480" w:lineRule="atLeast"/>
        <w:jc w:val="both"/>
        <w:rPr>
          <w:rFonts w:ascii="方正仿宋简体" w:hAnsi="宋体" w:eastAsia="方正仿宋简体" w:cs="宋体"/>
          <w:color w:val="404040"/>
          <w:sz w:val="28"/>
          <w:szCs w:val="28"/>
        </w:rPr>
      </w:pPr>
      <w:r>
        <w:rPr>
          <w:rFonts w:hint="eastAsia" w:ascii="仿宋_GB2312" w:hAnsi="宋体" w:eastAsia="仿宋_GB2312" w:cs="宋体"/>
          <w:color w:val="404040"/>
          <w:sz w:val="24"/>
          <w:szCs w:val="24"/>
        </w:rPr>
        <w:t>  </w:t>
      </w:r>
      <w:r>
        <w:rPr>
          <w:rFonts w:hint="eastAsia" w:ascii="宋体" w:hAnsi="宋体" w:eastAsia="宋体" w:cs="宋体"/>
          <w:color w:val="404040"/>
          <w:sz w:val="26"/>
          <w:szCs w:val="26"/>
        </w:rPr>
        <w:t> 1、本招标项目不采用电子招投标。</w:t>
      </w:r>
    </w:p>
    <w:p w14:paraId="6C432BD8">
      <w:p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   2、凡有意参加投标者，均可在福建省肿瘤医院官网（</w:t>
      </w:r>
      <w:r>
        <w:rPr>
          <w:rFonts w:ascii="宋体" w:hAnsi="宋体" w:eastAsia="宋体" w:cs="宋体"/>
          <w:color w:val="404040"/>
          <w:sz w:val="26"/>
          <w:szCs w:val="26"/>
        </w:rPr>
        <w:t>https://www.fjzl.com.cn</w:t>
      </w:r>
      <w:r>
        <w:rPr>
          <w:rFonts w:hint="eastAsia" w:ascii="宋体" w:hAnsi="宋体" w:eastAsia="宋体" w:cs="宋体"/>
          <w:color w:val="404040"/>
          <w:sz w:val="26"/>
          <w:szCs w:val="26"/>
        </w:rPr>
        <w:t>）下载与本项目相关的招标信息（包括招标文件、招标文件补充说明等），并于2024年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23</w:t>
      </w:r>
      <w:r>
        <w:rPr>
          <w:rFonts w:hint="eastAsia" w:ascii="宋体" w:hAnsi="宋体" w:eastAsia="宋体" w:cs="宋体"/>
          <w:color w:val="404040"/>
          <w:sz w:val="26"/>
          <w:szCs w:val="26"/>
        </w:rPr>
        <w:t>日至2024年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29</w:t>
      </w:r>
      <w:r>
        <w:rPr>
          <w:rFonts w:hint="eastAsia" w:ascii="宋体" w:hAnsi="宋体" w:eastAsia="宋体" w:cs="宋体"/>
          <w:color w:val="404040"/>
          <w:sz w:val="26"/>
          <w:szCs w:val="26"/>
        </w:rPr>
        <w:t>日(节假日除外)</w:t>
      </w:r>
      <w:r>
        <w:rPr>
          <w:rFonts w:hint="eastAsia" w:ascii="宋体" w:hAnsi="宋体" w:eastAsia="宋体" w:cs="宋体"/>
          <w:color w:val="404040"/>
          <w:sz w:val="26"/>
          <w:szCs w:val="26"/>
          <w:lang w:val="en-US" w:eastAsia="zh-CN"/>
        </w:rPr>
        <w:t>8:00-12:00</w:t>
      </w:r>
      <w:r>
        <w:rPr>
          <w:rFonts w:hint="eastAsia" w:ascii="宋体" w:hAnsi="宋体" w:eastAsia="宋体" w:cs="宋体"/>
          <w:color w:val="404040"/>
          <w:sz w:val="26"/>
          <w:szCs w:val="26"/>
        </w:rPr>
        <w:t>或</w:t>
      </w:r>
      <w:r>
        <w:rPr>
          <w:rFonts w:hint="eastAsia" w:ascii="宋体" w:hAnsi="宋体" w:eastAsia="宋体" w:cs="宋体"/>
          <w:color w:val="404040"/>
          <w:sz w:val="26"/>
          <w:szCs w:val="26"/>
          <w:lang w:val="en-US" w:eastAsia="zh-CN"/>
        </w:rPr>
        <w:t>14：00-17:00</w:t>
      </w:r>
      <w:r>
        <w:rPr>
          <w:rFonts w:hint="eastAsia" w:ascii="宋体" w:hAnsi="宋体" w:eastAsia="宋体" w:cs="宋体"/>
          <w:color w:val="404040"/>
          <w:sz w:val="26"/>
          <w:szCs w:val="26"/>
        </w:rPr>
        <w:t>，携带加盖公章的营业执照复印件、介绍信前往福建省肿瘤医院总务科报名。</w:t>
      </w:r>
    </w:p>
    <w:p w14:paraId="45BB15E5">
      <w:pPr>
        <w:adjustRightInd/>
        <w:snapToGrid/>
        <w:spacing w:before="150" w:after="0" w:line="480" w:lineRule="atLeast"/>
        <w:jc w:val="both"/>
        <w:rPr>
          <w:rFonts w:hint="eastAsia" w:ascii="黑体" w:hAnsi="黑体" w:eastAsia="黑体" w:cs="宋体"/>
          <w:b/>
          <w:bCs/>
          <w:color w:val="404040"/>
          <w:sz w:val="26"/>
        </w:rPr>
      </w:pPr>
      <w:r>
        <w:rPr>
          <w:rFonts w:hint="eastAsia" w:ascii="宋体" w:hAnsi="宋体" w:eastAsia="宋体" w:cs="宋体"/>
          <w:color w:val="404040"/>
          <w:sz w:val="26"/>
          <w:szCs w:val="26"/>
        </w:rPr>
        <w:t>   项目联系人：陈女士</w:t>
      </w:r>
      <w:r>
        <w:rPr>
          <w:rFonts w:hint="eastAsia" w:ascii="宋体" w:hAnsi="宋体" w:eastAsia="宋体" w:cs="宋体"/>
          <w:color w:val="404040"/>
          <w:sz w:val="26"/>
        </w:rPr>
        <w:t> </w:t>
      </w:r>
      <w:r>
        <w:rPr>
          <w:rFonts w:hint="eastAsia" w:ascii="宋体" w:hAnsi="宋体" w:eastAsia="宋体" w:cs="宋体"/>
          <w:color w:val="404040"/>
          <w:sz w:val="26"/>
          <w:szCs w:val="26"/>
        </w:rPr>
        <w:t>    联系电话：0591-62752801</w:t>
      </w:r>
    </w:p>
    <w:p w14:paraId="087C45D3">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四、答疑截止时间</w:t>
      </w:r>
    </w:p>
    <w:p w14:paraId="3F97CD92">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50AB0CF5">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五、投标文件的要求及递交</w:t>
      </w:r>
    </w:p>
    <w:p w14:paraId="7AE48398">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1、投标文件正本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w:t>
      </w:r>
      <w:r>
        <w:rPr>
          <w:rFonts w:ascii="宋体" w:hAnsi="宋体" w:eastAsia="宋体" w:cs="宋体"/>
          <w:color w:val="404040"/>
          <w:sz w:val="26"/>
          <w:szCs w:val="26"/>
        </w:rPr>
        <w:t>,</w:t>
      </w:r>
      <w:r>
        <w:rPr>
          <w:rFonts w:hint="eastAsia" w:ascii="宋体" w:hAnsi="宋体" w:eastAsia="宋体" w:cs="宋体"/>
          <w:color w:val="404040"/>
          <w:sz w:val="26"/>
          <w:szCs w:val="26"/>
        </w:rPr>
        <w:t>副本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份胶装并密封加盖投标人公章。投标文件未胶装密封将导致其投标文件被拒绝。</w:t>
      </w:r>
    </w:p>
    <w:p w14:paraId="067FB0F0">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2、投标文件递交的截止时间： 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30</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09:00</w:t>
      </w:r>
      <w:r>
        <w:rPr>
          <w:rFonts w:hint="eastAsia" w:ascii="宋体" w:hAnsi="宋体" w:eastAsia="宋体" w:cs="宋体"/>
          <w:color w:val="404040"/>
          <w:sz w:val="26"/>
          <w:szCs w:val="26"/>
        </w:rPr>
        <w:t>，提交地点为福建省肿瘤医院总务科，未送达指定地点或逾期送达者拒收。</w:t>
      </w:r>
    </w:p>
    <w:p w14:paraId="79D9BCD4">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六、开标评标时间地点</w:t>
      </w:r>
    </w:p>
    <w:p w14:paraId="17019EFC">
      <w:pPr>
        <w:adjustRightInd/>
        <w:snapToGrid/>
        <w:spacing w:before="150" w:after="0" w:line="480" w:lineRule="atLeast"/>
        <w:ind w:firstLine="390" w:firstLineChars="150"/>
        <w:jc w:val="both"/>
        <w:rPr>
          <w:rFonts w:ascii="宋体" w:hAnsi="宋体" w:eastAsia="宋体" w:cs="宋体"/>
          <w:color w:val="404040"/>
          <w:sz w:val="26"/>
          <w:szCs w:val="26"/>
        </w:rPr>
      </w:pPr>
      <w:r>
        <w:rPr>
          <w:rFonts w:hint="eastAsia" w:ascii="宋体" w:hAnsi="宋体" w:eastAsia="宋体" w:cs="宋体"/>
          <w:color w:val="404040"/>
          <w:sz w:val="26"/>
          <w:szCs w:val="26"/>
        </w:rPr>
        <w:t>1、开标时间：2024年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30</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09:00</w:t>
      </w:r>
      <w:r>
        <w:rPr>
          <w:rFonts w:hint="eastAsia" w:ascii="宋体" w:hAnsi="宋体" w:eastAsia="宋体" w:cs="宋体"/>
          <w:color w:val="404040"/>
          <w:sz w:val="26"/>
          <w:szCs w:val="26"/>
        </w:rPr>
        <w:t>时</w:t>
      </w:r>
    </w:p>
    <w:p w14:paraId="2055B6B5">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2、评标时间：开标后即开始评标。</w:t>
      </w:r>
    </w:p>
    <w:p w14:paraId="34CBA256">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rPr>
      </w:pPr>
      <w:r>
        <w:rPr>
          <w:rFonts w:hint="eastAsia" w:ascii="宋体" w:hAnsi="宋体" w:eastAsia="宋体" w:cs="宋体"/>
          <w:color w:val="404040"/>
          <w:sz w:val="26"/>
          <w:szCs w:val="26"/>
        </w:rPr>
        <w:t>3、地点：福建省肿瘤医院科研楼一楼</w:t>
      </w:r>
      <w:r>
        <w:rPr>
          <w:rFonts w:hint="eastAsia" w:ascii="宋体" w:hAnsi="宋体" w:eastAsia="宋体" w:cs="宋体"/>
          <w:color w:val="404040"/>
          <w:sz w:val="26"/>
          <w:szCs w:val="26"/>
          <w:lang w:val="en-US" w:eastAsia="zh-CN"/>
        </w:rPr>
        <w:t>总务科</w:t>
      </w:r>
      <w:bookmarkStart w:id="0" w:name="_GoBack"/>
      <w:bookmarkEnd w:id="0"/>
    </w:p>
    <w:p w14:paraId="34FFABF4">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备注：</w:t>
      </w:r>
    </w:p>
    <w:p w14:paraId="48F1A38D">
      <w:pPr>
        <w:spacing w:before="150" w:line="560" w:lineRule="exact"/>
        <w:ind w:firstLine="520" w:firstLineChars="200"/>
        <w:rPr>
          <w:rFonts w:ascii="宋体" w:hAnsi="宋体" w:eastAsia="宋体" w:cs="宋体"/>
          <w:color w:val="404040"/>
          <w:sz w:val="26"/>
          <w:szCs w:val="26"/>
        </w:rPr>
      </w:pPr>
      <w:r>
        <w:rPr>
          <w:rFonts w:hint="eastAsia" w:ascii="宋体" w:hAnsi="宋体" w:eastAsia="宋体" w:cs="宋体"/>
          <w:color w:val="404040"/>
          <w:sz w:val="26"/>
          <w:szCs w:val="26"/>
        </w:rPr>
        <w:t>1. 未参加报名的潜在投标人，其投标文件将被拒绝。</w:t>
      </w:r>
    </w:p>
    <w:p w14:paraId="4955F315">
      <w:pPr>
        <w:spacing w:before="150" w:line="560" w:lineRule="exact"/>
        <w:ind w:firstLine="520" w:firstLineChars="200"/>
        <w:rPr>
          <w:rFonts w:ascii="宋体" w:hAnsi="宋体" w:eastAsia="宋体" w:cs="宋体"/>
          <w:color w:val="404040"/>
          <w:sz w:val="26"/>
          <w:szCs w:val="26"/>
        </w:rPr>
      </w:pPr>
      <w:r>
        <w:rPr>
          <w:rFonts w:hint="eastAsia" w:ascii="宋体" w:hAnsi="宋体" w:eastAsia="宋体" w:cs="宋体"/>
          <w:color w:val="404040"/>
          <w:sz w:val="26"/>
          <w:szCs w:val="26"/>
        </w:rPr>
        <w:t>2.若有涉及招标文件内容更正，请各潜在投标人密切关注福建省肿瘤医院官网通知，以最新公告为准。</w:t>
      </w:r>
    </w:p>
    <w:p w14:paraId="546190A0">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八、评标原则及办法</w:t>
      </w:r>
    </w:p>
    <w:p w14:paraId="7CD6FBFE">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1、评标活动遵循公平、公正、科学和择优的原则。</w:t>
      </w:r>
    </w:p>
    <w:p w14:paraId="3DB53644">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2、评标方法：综合评分。</w:t>
      </w:r>
    </w:p>
    <w:p w14:paraId="16B8F661">
      <w:pPr>
        <w:adjustRightInd/>
        <w:snapToGrid/>
        <w:spacing w:before="150" w:after="0" w:line="480" w:lineRule="atLeast"/>
        <w:ind w:firstLine="520" w:firstLineChars="20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3、投标人之间有相互串通投标、弄虚作假等违规行为者，将作废标处理，并在我院未来的项目招标中被拒绝接受投标。</w:t>
      </w:r>
    </w:p>
    <w:p w14:paraId="6CAB803A">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九、合同条款内容及签订</w:t>
      </w:r>
    </w:p>
    <w:p w14:paraId="5E31B2E2">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1、合同专用条款内容依照国家规范文本，合同通用条款内容解释依照国家规范文本。</w:t>
      </w:r>
    </w:p>
    <w:p w14:paraId="327441A1">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2、合同签订：中标人在接到中标通知后7天内，应派代表与招标人联系，商讨签订合同事宜。</w:t>
      </w:r>
    </w:p>
    <w:p w14:paraId="63A597E4">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3、合同价格形式：本项目采用固定单价合同，工程量按实结算。</w:t>
      </w:r>
    </w:p>
    <w:p w14:paraId="4B98103E">
      <w:pPr>
        <w:adjustRightInd/>
        <w:snapToGrid/>
        <w:spacing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十、付款方式与条件</w:t>
      </w:r>
    </w:p>
    <w:p w14:paraId="025996A6">
      <w:pPr>
        <w:adjustRightInd/>
        <w:snapToGrid/>
        <w:spacing w:after="0" w:line="480" w:lineRule="atLeast"/>
        <w:ind w:firstLine="480"/>
        <w:jc w:val="both"/>
        <w:rPr>
          <w:rFonts w:ascii="方正仿宋简体" w:hAnsi="宋体" w:eastAsia="方正仿宋简体" w:cs="宋体"/>
          <w:b/>
          <w:color w:val="404040"/>
          <w:sz w:val="28"/>
          <w:szCs w:val="28"/>
        </w:rPr>
      </w:pPr>
      <w:r>
        <w:rPr>
          <w:rFonts w:hint="eastAsia" w:ascii="宋体" w:hAnsi="宋体" w:eastAsia="宋体" w:cs="宋体"/>
          <w:b/>
          <w:color w:val="404040"/>
          <w:sz w:val="26"/>
          <w:szCs w:val="26"/>
        </w:rPr>
        <w:t>工程竣工，并经甲方验收合格后，乙方申报竣工结算，经甲方审计部门审核后，支付至审定价款的100%。</w:t>
      </w:r>
    </w:p>
    <w:p w14:paraId="1D071B0B">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十一、其他未详尽事宜</w:t>
      </w:r>
    </w:p>
    <w:p w14:paraId="1A1560B0">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依照国家工程项目招投标和政府采购有关规定。</w:t>
      </w:r>
    </w:p>
    <w:p w14:paraId="4C6D2375">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十二、工程量清单</w:t>
      </w:r>
    </w:p>
    <w:p w14:paraId="5E5BFF4F">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1.工程量清单每一个子目只允许有一个报价，没有填入单价或价格的， 其费用视为已分摊在工程量清单中的其他相关子目单价或价格中。</w:t>
      </w:r>
    </w:p>
    <w:p w14:paraId="27FDD457">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十三、监督电话</w:t>
      </w:r>
    </w:p>
    <w:p w14:paraId="038B1ACD">
      <w:pPr>
        <w:adjustRightInd/>
        <w:snapToGrid/>
        <w:spacing w:before="150" w:after="0" w:line="480" w:lineRule="atLeast"/>
        <w:ind w:firstLine="480"/>
        <w:jc w:val="both"/>
        <w:rPr>
          <w:rFonts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13B9DC81">
      <w:pPr>
        <w:jc w:val="right"/>
        <w:rPr>
          <w:rFonts w:hint="eastAsia" w:ascii="宋体" w:hAnsi="宋体" w:eastAsia="宋体" w:cs="宋体"/>
          <w:color w:val="404040"/>
          <w:sz w:val="26"/>
          <w:szCs w:val="26"/>
        </w:rPr>
      </w:pPr>
      <w:r>
        <w:rPr>
          <w:rFonts w:ascii="宋体" w:hAnsi="宋体" w:eastAsia="宋体" w:cs="宋体"/>
          <w:color w:val="404040"/>
          <w:sz w:val="26"/>
          <w:szCs w:val="26"/>
        </w:rPr>
        <w:t>福建省肿瘤医院</w:t>
      </w:r>
    </w:p>
    <w:p w14:paraId="76AF8B9E">
      <w:pPr>
        <w:jc w:val="right"/>
        <w:rPr>
          <w:rFonts w:ascii="宋体" w:hAnsi="宋体" w:eastAsia="宋体" w:cs="宋体"/>
          <w:color w:val="404040"/>
          <w:sz w:val="26"/>
          <w:szCs w:val="26"/>
        </w:rPr>
      </w:pPr>
      <w:r>
        <w:rPr>
          <w:rFonts w:hint="eastAsia" w:ascii="宋体" w:hAnsi="宋体" w:eastAsia="宋体" w:cs="宋体"/>
          <w:color w:val="404040"/>
          <w:sz w:val="26"/>
          <w:szCs w:val="26"/>
        </w:rPr>
        <w:t>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22</w:t>
      </w:r>
      <w:r>
        <w:rPr>
          <w:rFonts w:hint="eastAsia" w:ascii="宋体" w:hAnsi="宋体" w:eastAsia="宋体" w:cs="宋体"/>
          <w:color w:val="404040"/>
          <w:sz w:val="26"/>
          <w:szCs w:val="26"/>
        </w:rPr>
        <w:t>日</w:t>
      </w:r>
    </w:p>
    <w:p w14:paraId="6FED1AFB">
      <w:pPr>
        <w:jc w:val="center"/>
        <w:rPr>
          <w:b/>
          <w:sz w:val="32"/>
          <w:szCs w:val="32"/>
        </w:rPr>
      </w:pPr>
    </w:p>
    <w:p w14:paraId="66C3BC08">
      <w:pPr>
        <w:jc w:val="center"/>
        <w:rPr>
          <w:b/>
          <w:sz w:val="32"/>
          <w:szCs w:val="32"/>
        </w:rPr>
      </w:pPr>
    </w:p>
    <w:p w14:paraId="5D49998E">
      <w:pPr>
        <w:jc w:val="center"/>
        <w:rPr>
          <w:b/>
          <w:sz w:val="32"/>
          <w:szCs w:val="32"/>
        </w:rPr>
      </w:pPr>
    </w:p>
    <w:p w14:paraId="348D1E01">
      <w:pPr>
        <w:jc w:val="center"/>
        <w:rPr>
          <w:b/>
          <w:sz w:val="32"/>
          <w:szCs w:val="32"/>
        </w:rPr>
      </w:pPr>
    </w:p>
    <w:p w14:paraId="4728C655">
      <w:pPr>
        <w:jc w:val="center"/>
        <w:rPr>
          <w:b/>
          <w:sz w:val="32"/>
          <w:szCs w:val="32"/>
        </w:rPr>
      </w:pPr>
    </w:p>
    <w:p w14:paraId="057C197A">
      <w:pPr>
        <w:jc w:val="center"/>
        <w:rPr>
          <w:b/>
          <w:sz w:val="32"/>
          <w:szCs w:val="32"/>
        </w:rPr>
      </w:pPr>
    </w:p>
    <w:p w14:paraId="52101353">
      <w:pPr>
        <w:jc w:val="both"/>
        <w:rPr>
          <w:b/>
          <w:sz w:val="32"/>
          <w:szCs w:val="32"/>
        </w:rPr>
      </w:pPr>
    </w:p>
    <w:p w14:paraId="369CA714">
      <w:pPr>
        <w:pStyle w:val="2"/>
        <w:rPr>
          <w:b/>
          <w:sz w:val="32"/>
          <w:szCs w:val="32"/>
        </w:rPr>
      </w:pPr>
    </w:p>
    <w:p w14:paraId="747DC2EA">
      <w:pPr>
        <w:pStyle w:val="2"/>
        <w:rPr>
          <w:b/>
          <w:sz w:val="32"/>
          <w:szCs w:val="32"/>
        </w:rPr>
      </w:pPr>
    </w:p>
    <w:p w14:paraId="1516033D">
      <w:pPr>
        <w:jc w:val="both"/>
        <w:rPr>
          <w:b/>
          <w:sz w:val="32"/>
          <w:szCs w:val="32"/>
        </w:rPr>
      </w:pPr>
    </w:p>
    <w:p w14:paraId="1FFD2B9E">
      <w:pPr>
        <w:spacing w:line="220" w:lineRule="atLeast"/>
        <w:jc w:val="center"/>
        <w:rPr>
          <w:rFonts w:ascii="宋体" w:hAnsi="宋体" w:eastAsia="宋体" w:cs="宋体"/>
          <w:color w:val="404040"/>
          <w:sz w:val="26"/>
          <w:szCs w:val="26"/>
        </w:rPr>
      </w:pPr>
      <w:r>
        <w:rPr>
          <w:rFonts w:hint="eastAsia" w:ascii="宋体" w:hAnsi="宋体" w:eastAsia="宋体" w:cs="宋体"/>
          <w:color w:val="404040"/>
          <w:sz w:val="26"/>
          <w:szCs w:val="26"/>
        </w:rPr>
        <w:t>报价内容一览</w:t>
      </w:r>
    </w:p>
    <w:tbl>
      <w:tblPr>
        <w:tblStyle w:val="12"/>
        <w:tblW w:w="10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8"/>
        <w:gridCol w:w="1560"/>
        <w:gridCol w:w="1417"/>
        <w:gridCol w:w="1863"/>
        <w:gridCol w:w="1863"/>
        <w:gridCol w:w="1863"/>
      </w:tblGrid>
      <w:tr w14:paraId="4E983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18" w:type="dxa"/>
            <w:shd w:val="clear" w:color="FFFFFF" w:fill="auto"/>
            <w:vAlign w:val="center"/>
          </w:tcPr>
          <w:p w14:paraId="7FFACF6C">
            <w:pPr>
              <w:jc w:val="center"/>
              <w:rPr>
                <w:rFonts w:ascii="宋体" w:hAnsi="宋体" w:eastAsia="宋体" w:cs="宋体"/>
                <w:color w:val="404040"/>
                <w:sz w:val="26"/>
                <w:szCs w:val="26"/>
              </w:rPr>
            </w:pPr>
            <w:r>
              <w:rPr>
                <w:rFonts w:hint="eastAsia" w:ascii="宋体" w:hAnsi="宋体" w:eastAsia="宋体" w:cs="宋体"/>
                <w:color w:val="404040"/>
                <w:sz w:val="26"/>
                <w:szCs w:val="26"/>
              </w:rPr>
              <w:t>项 目 名 称</w:t>
            </w:r>
          </w:p>
        </w:tc>
        <w:tc>
          <w:tcPr>
            <w:tcW w:w="1560" w:type="dxa"/>
            <w:shd w:val="clear" w:color="FFFFFF" w:fill="auto"/>
            <w:vAlign w:val="center"/>
          </w:tcPr>
          <w:p w14:paraId="53BF048E">
            <w:pPr>
              <w:jc w:val="center"/>
              <w:rPr>
                <w:rFonts w:ascii="宋体" w:hAnsi="宋体" w:eastAsia="宋体" w:cs="宋体"/>
                <w:color w:val="404040"/>
                <w:sz w:val="26"/>
                <w:szCs w:val="26"/>
              </w:rPr>
            </w:pPr>
            <w:r>
              <w:rPr>
                <w:rFonts w:hint="eastAsia" w:ascii="宋体" w:hAnsi="宋体" w:eastAsia="宋体" w:cs="宋体"/>
                <w:color w:val="404040"/>
                <w:sz w:val="26"/>
                <w:szCs w:val="26"/>
              </w:rPr>
              <w:t>招标方式</w:t>
            </w:r>
          </w:p>
        </w:tc>
        <w:tc>
          <w:tcPr>
            <w:tcW w:w="1417" w:type="dxa"/>
            <w:shd w:val="clear" w:color="FFFFFF" w:fill="auto"/>
            <w:vAlign w:val="center"/>
          </w:tcPr>
          <w:p w14:paraId="2CB2394E">
            <w:pPr>
              <w:jc w:val="center"/>
              <w:rPr>
                <w:rFonts w:ascii="宋体" w:hAnsi="宋体" w:eastAsia="宋体" w:cs="宋体"/>
                <w:color w:val="404040"/>
                <w:sz w:val="26"/>
                <w:szCs w:val="26"/>
              </w:rPr>
            </w:pPr>
            <w:r>
              <w:rPr>
                <w:rFonts w:hint="eastAsia" w:ascii="宋体" w:hAnsi="宋体" w:eastAsia="宋体" w:cs="宋体"/>
                <w:color w:val="404040"/>
                <w:sz w:val="26"/>
                <w:szCs w:val="26"/>
              </w:rPr>
              <w:t>控制价</w:t>
            </w:r>
          </w:p>
        </w:tc>
        <w:tc>
          <w:tcPr>
            <w:tcW w:w="1863" w:type="dxa"/>
            <w:shd w:val="clear" w:color="FFFFFF" w:fill="auto"/>
            <w:vAlign w:val="center"/>
          </w:tcPr>
          <w:p w14:paraId="2B7A2949">
            <w:pPr>
              <w:jc w:val="center"/>
              <w:rPr>
                <w:rFonts w:ascii="宋体" w:hAnsi="宋体" w:eastAsia="宋体" w:cs="宋体"/>
                <w:color w:val="404040"/>
                <w:sz w:val="26"/>
                <w:szCs w:val="26"/>
              </w:rPr>
            </w:pPr>
            <w:r>
              <w:rPr>
                <w:rFonts w:hint="eastAsia" w:ascii="宋体" w:hAnsi="宋体" w:eastAsia="宋体" w:cs="宋体"/>
                <w:color w:val="404040"/>
                <w:sz w:val="26"/>
                <w:szCs w:val="26"/>
              </w:rPr>
              <w:t>招标范围</w:t>
            </w:r>
          </w:p>
        </w:tc>
        <w:tc>
          <w:tcPr>
            <w:tcW w:w="1863" w:type="dxa"/>
            <w:shd w:val="clear" w:color="FFFFFF" w:fill="auto"/>
            <w:vAlign w:val="center"/>
          </w:tcPr>
          <w:p w14:paraId="4D3BCABD">
            <w:pPr>
              <w:jc w:val="center"/>
              <w:rPr>
                <w:rFonts w:ascii="宋体" w:hAnsi="宋体" w:eastAsia="宋体" w:cs="宋体"/>
                <w:color w:val="404040"/>
                <w:sz w:val="26"/>
                <w:szCs w:val="26"/>
              </w:rPr>
            </w:pPr>
            <w:r>
              <w:rPr>
                <w:rFonts w:hint="eastAsia" w:ascii="宋体" w:hAnsi="宋体" w:eastAsia="宋体" w:cs="宋体"/>
                <w:color w:val="404040"/>
                <w:sz w:val="26"/>
                <w:szCs w:val="26"/>
              </w:rPr>
              <w:t>承包方式</w:t>
            </w:r>
          </w:p>
        </w:tc>
        <w:tc>
          <w:tcPr>
            <w:tcW w:w="1863" w:type="dxa"/>
            <w:shd w:val="clear" w:color="FFFFFF" w:fill="auto"/>
            <w:vAlign w:val="center"/>
          </w:tcPr>
          <w:p w14:paraId="0D31B355">
            <w:pPr>
              <w:jc w:val="center"/>
              <w:rPr>
                <w:rFonts w:ascii="宋体" w:hAnsi="宋体" w:eastAsia="宋体" w:cs="宋体"/>
                <w:color w:val="404040"/>
                <w:sz w:val="26"/>
                <w:szCs w:val="26"/>
              </w:rPr>
            </w:pPr>
            <w:r>
              <w:rPr>
                <w:rFonts w:hint="eastAsia" w:ascii="宋体" w:hAnsi="宋体" w:eastAsia="宋体" w:cs="宋体"/>
                <w:color w:val="404040"/>
                <w:sz w:val="26"/>
                <w:szCs w:val="26"/>
              </w:rPr>
              <w:t>评标方式</w:t>
            </w:r>
          </w:p>
        </w:tc>
      </w:tr>
      <w:tr w14:paraId="424D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6" w:hRule="atLeast"/>
          <w:jc w:val="center"/>
        </w:trPr>
        <w:tc>
          <w:tcPr>
            <w:tcW w:w="1718" w:type="dxa"/>
            <w:vAlign w:val="center"/>
          </w:tcPr>
          <w:p w14:paraId="4FC56CEA">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内河驳岸边防护栏杆</w:t>
            </w:r>
          </w:p>
        </w:tc>
        <w:tc>
          <w:tcPr>
            <w:tcW w:w="1560" w:type="dxa"/>
            <w:vAlign w:val="center"/>
          </w:tcPr>
          <w:p w14:paraId="2CB1ECE7">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综合评分</w:t>
            </w:r>
          </w:p>
        </w:tc>
        <w:tc>
          <w:tcPr>
            <w:tcW w:w="1417" w:type="dxa"/>
            <w:vAlign w:val="center"/>
          </w:tcPr>
          <w:p w14:paraId="6478F523">
            <w:pPr>
              <w:jc w:val="both"/>
              <w:rPr>
                <w:rFonts w:ascii="宋体" w:hAnsi="宋体" w:eastAsia="宋体" w:cs="宋体"/>
                <w:color w:val="404040"/>
                <w:sz w:val="26"/>
                <w:szCs w:val="26"/>
              </w:rPr>
            </w:pPr>
            <w:r>
              <w:rPr>
                <w:rFonts w:hint="eastAsia" w:ascii="宋体" w:hAnsi="宋体" w:eastAsia="宋体" w:cs="宋体"/>
                <w:color w:val="404040"/>
                <w:sz w:val="26"/>
                <w:szCs w:val="26"/>
                <w:lang w:val="en-US" w:eastAsia="zh-CN"/>
              </w:rPr>
              <w:t xml:space="preserve">125221  </w:t>
            </w:r>
            <w:r>
              <w:rPr>
                <w:rFonts w:hint="eastAsia" w:ascii="宋体" w:hAnsi="宋体" w:eastAsia="宋体" w:cs="宋体"/>
                <w:color w:val="404040"/>
                <w:sz w:val="26"/>
                <w:szCs w:val="26"/>
              </w:rPr>
              <w:t>元</w:t>
            </w:r>
          </w:p>
        </w:tc>
        <w:tc>
          <w:tcPr>
            <w:tcW w:w="1863" w:type="dxa"/>
            <w:vAlign w:val="center"/>
          </w:tcPr>
          <w:p w14:paraId="723C9274">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见工程量清单（即承包的内容）</w:t>
            </w:r>
          </w:p>
        </w:tc>
        <w:tc>
          <w:tcPr>
            <w:tcW w:w="1863" w:type="dxa"/>
            <w:vAlign w:val="center"/>
          </w:tcPr>
          <w:p w14:paraId="6149CE07">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包工包料</w:t>
            </w:r>
          </w:p>
        </w:tc>
        <w:tc>
          <w:tcPr>
            <w:tcW w:w="1863" w:type="dxa"/>
            <w:vAlign w:val="center"/>
          </w:tcPr>
          <w:p w14:paraId="50AB11E7">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综合评分</w:t>
            </w:r>
          </w:p>
        </w:tc>
      </w:tr>
    </w:tbl>
    <w:p w14:paraId="45143423">
      <w:pPr>
        <w:spacing w:line="360" w:lineRule="exact"/>
        <w:rPr>
          <w:rFonts w:ascii="宋体" w:hAnsi="宋体" w:eastAsia="宋体" w:cs="宋体"/>
          <w:color w:val="404040"/>
          <w:sz w:val="26"/>
          <w:szCs w:val="26"/>
        </w:rPr>
      </w:pPr>
      <w:r>
        <w:rPr>
          <w:rFonts w:hint="eastAsia" w:ascii="宋体" w:hAnsi="宋体" w:eastAsia="宋体" w:cs="宋体"/>
          <w:color w:val="404040"/>
          <w:sz w:val="26"/>
          <w:szCs w:val="26"/>
        </w:rPr>
        <w:t>备注：</w:t>
      </w:r>
    </w:p>
    <w:p w14:paraId="0C237D52">
      <w:pPr>
        <w:numPr>
          <w:ilvl w:val="0"/>
          <w:numId w:val="2"/>
        </w:numPr>
        <w:spacing w:line="360" w:lineRule="exact"/>
        <w:rPr>
          <w:rFonts w:hint="eastAsia" w:ascii="宋体" w:hAnsi="宋体" w:eastAsia="宋体" w:cs="宋体"/>
          <w:color w:val="404040"/>
          <w:sz w:val="26"/>
          <w:szCs w:val="26"/>
          <w:lang w:eastAsia="zh-CN"/>
        </w:rPr>
      </w:pPr>
      <w:r>
        <w:rPr>
          <w:rFonts w:hint="eastAsia" w:ascii="宋体" w:hAnsi="宋体" w:eastAsia="宋体" w:cs="宋体"/>
          <w:color w:val="404040"/>
          <w:sz w:val="26"/>
          <w:szCs w:val="26"/>
        </w:rPr>
        <w:t>工程报价方式: 固定</w:t>
      </w:r>
      <w:r>
        <w:rPr>
          <w:rFonts w:hint="eastAsia" w:ascii="宋体" w:hAnsi="宋体" w:eastAsia="宋体" w:cs="宋体"/>
          <w:color w:val="404040"/>
          <w:sz w:val="26"/>
          <w:szCs w:val="26"/>
          <w:lang w:eastAsia="zh-CN"/>
        </w:rPr>
        <w:t>单价。</w:t>
      </w:r>
    </w:p>
    <w:p w14:paraId="14F7C3E1">
      <w:pPr>
        <w:numPr>
          <w:ilvl w:val="0"/>
          <w:numId w:val="0"/>
        </w:numPr>
        <w:spacing w:line="360" w:lineRule="exact"/>
        <w:rPr>
          <w:rFonts w:ascii="宋体" w:hAnsi="宋体" w:eastAsia="宋体" w:cs="宋体"/>
          <w:color w:val="404040"/>
          <w:sz w:val="26"/>
          <w:szCs w:val="26"/>
        </w:rPr>
      </w:pPr>
      <w:r>
        <w:rPr>
          <w:rFonts w:hint="eastAsia" w:ascii="宋体" w:hAnsi="宋体" w:eastAsia="宋体" w:cs="宋体"/>
          <w:color w:val="404040"/>
          <w:sz w:val="26"/>
          <w:szCs w:val="26"/>
          <w:lang w:val="en-US" w:eastAsia="zh-CN"/>
        </w:rPr>
        <w:t>2</w:t>
      </w:r>
      <w:r>
        <w:rPr>
          <w:rFonts w:hint="eastAsia" w:ascii="宋体" w:hAnsi="宋体" w:eastAsia="宋体" w:cs="宋体"/>
          <w:color w:val="404040"/>
          <w:sz w:val="26"/>
          <w:szCs w:val="26"/>
        </w:rPr>
        <w:t>、工程竣工后，根据院方要求，提供完整的施工图纸及相应的电子文档。</w:t>
      </w:r>
    </w:p>
    <w:p w14:paraId="3FFD8342">
      <w:pPr>
        <w:adjustRightInd/>
        <w:snapToGrid/>
        <w:spacing w:line="220" w:lineRule="atLeast"/>
        <w:rPr>
          <w:rFonts w:ascii="宋体" w:hAnsi="宋体" w:eastAsia="宋体" w:cs="宋体"/>
          <w:color w:val="404040"/>
          <w:sz w:val="26"/>
          <w:szCs w:val="26"/>
        </w:rPr>
      </w:pPr>
      <w:r>
        <w:rPr>
          <w:rFonts w:ascii="宋体" w:hAnsi="宋体" w:eastAsia="宋体" w:cs="宋体"/>
          <w:color w:val="404040"/>
          <w:sz w:val="26"/>
          <w:szCs w:val="26"/>
        </w:rPr>
        <w:br w:type="page"/>
      </w:r>
    </w:p>
    <w:p w14:paraId="4BF1D6D1">
      <w:pPr>
        <w:adjustRightInd/>
        <w:snapToGrid/>
        <w:spacing w:line="220" w:lineRule="atLeast"/>
        <w:rPr>
          <w:b/>
          <w:sz w:val="32"/>
          <w:szCs w:val="32"/>
        </w:rPr>
      </w:pPr>
      <w:r>
        <w:rPr>
          <w:rFonts w:hint="eastAsia"/>
          <w:b/>
          <w:sz w:val="32"/>
          <w:szCs w:val="32"/>
        </w:rPr>
        <w:t>附件：</w:t>
      </w:r>
    </w:p>
    <w:p w14:paraId="233EFA06">
      <w:pPr>
        <w:numPr>
          <w:ilvl w:val="0"/>
          <w:numId w:val="3"/>
        </w:numPr>
        <w:adjustRightInd/>
        <w:snapToGrid/>
        <w:spacing w:line="220" w:lineRule="atLeast"/>
        <w:rPr>
          <w:rFonts w:hint="eastAsia" w:asciiTheme="minorHAnsi" w:hAnsiTheme="minorHAnsi" w:eastAsiaTheme="minorEastAsia" w:cstheme="minorBidi"/>
          <w:sz w:val="28"/>
          <w:szCs w:val="28"/>
          <w:lang w:val="en-US" w:eastAsia="zh-Hans" w:bidi="ar-SA"/>
        </w:rPr>
      </w:pPr>
      <w:r>
        <w:rPr>
          <w:rFonts w:hint="eastAsia" w:asciiTheme="minorHAnsi" w:hAnsiTheme="minorHAnsi" w:eastAsiaTheme="minorEastAsia" w:cstheme="minorBidi"/>
          <w:sz w:val="28"/>
          <w:szCs w:val="28"/>
          <w:lang w:val="en-US" w:eastAsia="zh-Hans" w:bidi="ar-SA"/>
        </w:rPr>
        <w:t>工程量清单（详见附件）</w:t>
      </w:r>
    </w:p>
    <w:p w14:paraId="3205D428">
      <w:pPr>
        <w:numPr>
          <w:ilvl w:val="0"/>
          <w:numId w:val="3"/>
        </w:numPr>
        <w:adjustRightInd/>
        <w:snapToGrid/>
        <w:spacing w:line="220" w:lineRule="atLeast"/>
        <w:rPr>
          <w:rFonts w:hint="eastAsia" w:asciiTheme="minorHAnsi" w:hAnsiTheme="minorHAnsi" w:eastAsiaTheme="minorEastAsia" w:cstheme="minorBidi"/>
          <w:sz w:val="28"/>
          <w:szCs w:val="28"/>
          <w:lang w:val="en-US" w:eastAsia="zh-Hans" w:bidi="ar-SA"/>
        </w:rPr>
      </w:pPr>
      <w:r>
        <w:rPr>
          <w:rFonts w:hint="eastAsia" w:asciiTheme="minorHAnsi" w:hAnsiTheme="minorHAnsi" w:eastAsiaTheme="minorEastAsia" w:cstheme="minorBidi"/>
          <w:sz w:val="28"/>
          <w:szCs w:val="28"/>
          <w:lang w:val="en-US" w:eastAsia="zh-Hans" w:bidi="ar-SA"/>
        </w:rPr>
        <w:t>评分方法和标准</w:t>
      </w:r>
    </w:p>
    <w:p w14:paraId="3E4FE1DD">
      <w:pPr>
        <w:pStyle w:val="11"/>
        <w:spacing w:before="0" w:beforeAutospacing="0" w:after="150" w:afterAutospacing="0"/>
        <w:rPr>
          <w:rFonts w:hint="eastAsia" w:asciiTheme="minorHAnsi" w:hAnsiTheme="minorHAnsi" w:eastAsiaTheme="minorEastAsia" w:cstheme="minorBidi"/>
          <w:sz w:val="28"/>
          <w:szCs w:val="28"/>
          <w:lang w:val="en-US" w:eastAsia="zh-Hans" w:bidi="ar-SA"/>
        </w:rPr>
      </w:pPr>
      <w:r>
        <w:rPr>
          <w:rFonts w:hint="eastAsia" w:asciiTheme="minorHAnsi" w:hAnsiTheme="minorHAnsi" w:eastAsiaTheme="minorEastAsia" w:cstheme="minorBidi"/>
          <w:sz w:val="28"/>
          <w:szCs w:val="28"/>
          <w:lang w:val="en-US" w:eastAsia="zh-Hans" w:bidi="ar-SA"/>
        </w:rPr>
        <w:t>①价格项（F1×A1）满分为</w:t>
      </w:r>
      <w:r>
        <w:rPr>
          <w:rFonts w:hint="eastAsia" w:asciiTheme="minorHAnsi" w:hAnsiTheme="minorHAnsi" w:eastAsiaTheme="minorEastAsia" w:cstheme="minorBidi"/>
          <w:sz w:val="28"/>
          <w:szCs w:val="28"/>
          <w:lang w:val="en-US" w:eastAsia="zh-CN" w:bidi="ar-SA"/>
        </w:rPr>
        <w:t>20</w:t>
      </w:r>
      <w:r>
        <w:rPr>
          <w:rFonts w:hint="eastAsia" w:asciiTheme="minorHAnsi" w:hAnsiTheme="minorHAnsi" w:eastAsiaTheme="minorEastAsia" w:cstheme="minorBidi"/>
          <w:sz w:val="28"/>
          <w:szCs w:val="28"/>
          <w:lang w:val="en-US" w:eastAsia="zh-Hans" w:bidi="ar-SA"/>
        </w:rPr>
        <w:t>分。</w:t>
      </w:r>
    </w:p>
    <w:p w14:paraId="4E08A5C3">
      <w:pPr>
        <w:pStyle w:val="11"/>
        <w:spacing w:before="0" w:beforeAutospacing="0" w:after="150" w:afterAutospacing="0"/>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a.价格分采用低价优先法计算，即满足招标文件要求且投标价格最低的投标报价为评标基准价，其价格分为满分。其他投标人的价格分统一按照下列公式计算：投标报价得分=（评标基准价／投标报价）×价格权值×100。因落实政府采购政策需进行价格扣除的，以扣除后的价格计算评标基准价和投标报价。</w:t>
      </w:r>
    </w:p>
    <w:p w14:paraId="3F6E9074">
      <w:pPr>
        <w:pStyle w:val="11"/>
        <w:spacing w:before="0" w:beforeAutospacing="0" w:after="150" w:afterAutospacing="0"/>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②技术项（F2×A2）满分为</w:t>
      </w:r>
      <w:r>
        <w:rPr>
          <w:rFonts w:hint="eastAsia" w:asciiTheme="minorHAnsi" w:hAnsiTheme="minorHAnsi" w:eastAsiaTheme="minorEastAsia" w:cstheme="minorBidi"/>
          <w:sz w:val="28"/>
          <w:szCs w:val="28"/>
          <w:lang w:val="en-US" w:eastAsia="zh-CN"/>
        </w:rPr>
        <w:t>70</w:t>
      </w:r>
      <w:r>
        <w:rPr>
          <w:rFonts w:hint="eastAsia" w:asciiTheme="minorHAnsi" w:hAnsiTheme="minorHAnsi" w:eastAsiaTheme="minorEastAsia" w:cstheme="minorBidi"/>
          <w:sz w:val="28"/>
          <w:szCs w:val="28"/>
          <w:lang w:val="en-US" w:eastAsia="zh-Hans"/>
        </w:rPr>
        <w:t>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78"/>
        <w:gridCol w:w="1139"/>
        <w:gridCol w:w="4105"/>
      </w:tblGrid>
      <w:tr w14:paraId="19F30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084A9A3F">
            <w:pPr>
              <w:pStyle w:val="26"/>
              <w:jc w:val="left"/>
              <w:rPr>
                <w:sz w:val="28"/>
                <w:szCs w:val="28"/>
              </w:rPr>
            </w:pPr>
            <w:r>
              <w:rPr>
                <w:sz w:val="28"/>
                <w:szCs w:val="28"/>
              </w:rPr>
              <w:t xml:space="preserve"> 项目</w:t>
            </w:r>
          </w:p>
        </w:tc>
        <w:tc>
          <w:tcPr>
            <w:tcW w:w="1139" w:type="dxa"/>
          </w:tcPr>
          <w:p w14:paraId="71FD670F">
            <w:pPr>
              <w:pStyle w:val="26"/>
              <w:jc w:val="left"/>
              <w:rPr>
                <w:sz w:val="28"/>
                <w:szCs w:val="28"/>
              </w:rPr>
            </w:pPr>
            <w:r>
              <w:rPr>
                <w:sz w:val="28"/>
                <w:szCs w:val="28"/>
              </w:rPr>
              <w:t xml:space="preserve"> 分值</w:t>
            </w:r>
          </w:p>
        </w:tc>
        <w:tc>
          <w:tcPr>
            <w:tcW w:w="4105" w:type="dxa"/>
          </w:tcPr>
          <w:p w14:paraId="0A82DC1A">
            <w:pPr>
              <w:pStyle w:val="26"/>
              <w:jc w:val="left"/>
              <w:rPr>
                <w:sz w:val="28"/>
                <w:szCs w:val="28"/>
              </w:rPr>
            </w:pPr>
            <w:r>
              <w:rPr>
                <w:sz w:val="28"/>
                <w:szCs w:val="28"/>
              </w:rPr>
              <w:t xml:space="preserve"> 描述</w:t>
            </w:r>
          </w:p>
        </w:tc>
      </w:tr>
      <w:tr w14:paraId="5D62B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7B14EF37">
            <w:pPr>
              <w:pStyle w:val="26"/>
              <w:jc w:val="left"/>
              <w:rPr>
                <w:sz w:val="28"/>
                <w:szCs w:val="28"/>
              </w:rPr>
            </w:pPr>
            <w:r>
              <w:rPr>
                <w:sz w:val="28"/>
                <w:szCs w:val="28"/>
              </w:rPr>
              <w:t>技术要求响应情况</w:t>
            </w:r>
          </w:p>
        </w:tc>
        <w:tc>
          <w:tcPr>
            <w:tcW w:w="1139" w:type="dxa"/>
          </w:tcPr>
          <w:p w14:paraId="0CEFC611">
            <w:pPr>
              <w:pStyle w:val="26"/>
              <w:jc w:val="right"/>
              <w:rPr>
                <w:sz w:val="28"/>
                <w:szCs w:val="28"/>
              </w:rPr>
            </w:pPr>
            <w:r>
              <w:rPr>
                <w:rFonts w:hint="eastAsia"/>
                <w:sz w:val="28"/>
                <w:szCs w:val="28"/>
                <w:lang w:val="en-US" w:eastAsia="zh-CN"/>
              </w:rPr>
              <w:t>50</w:t>
            </w:r>
          </w:p>
        </w:tc>
        <w:tc>
          <w:tcPr>
            <w:tcW w:w="4105" w:type="dxa"/>
          </w:tcPr>
          <w:p w14:paraId="5F9BBCCE">
            <w:pPr>
              <w:pStyle w:val="26"/>
              <w:jc w:val="left"/>
              <w:rPr>
                <w:sz w:val="28"/>
                <w:szCs w:val="28"/>
              </w:rPr>
            </w:pPr>
            <w:r>
              <w:rPr>
                <w:sz w:val="28"/>
                <w:szCs w:val="28"/>
              </w:rPr>
              <w:t>根据供应商对</w:t>
            </w:r>
            <w:r>
              <w:rPr>
                <w:rFonts w:hint="eastAsia"/>
                <w:sz w:val="28"/>
                <w:szCs w:val="28"/>
                <w:lang w:eastAsia="zh-CN"/>
              </w:rPr>
              <w:t>招标</w:t>
            </w:r>
            <w:r>
              <w:rPr>
                <w:sz w:val="28"/>
                <w:szCs w:val="28"/>
              </w:rPr>
              <w:t>文件第三</w:t>
            </w:r>
            <w:r>
              <w:rPr>
                <w:rFonts w:hint="eastAsia"/>
                <w:sz w:val="28"/>
                <w:szCs w:val="28"/>
                <w:lang w:eastAsia="zh-CN"/>
              </w:rPr>
              <w:t>部分</w:t>
            </w:r>
            <w:r>
              <w:rPr>
                <w:sz w:val="28"/>
                <w:szCs w:val="28"/>
              </w:rPr>
              <w:t>采购内容及要求</w:t>
            </w:r>
            <w:r>
              <w:rPr>
                <w:rFonts w:hint="eastAsia"/>
                <w:sz w:val="28"/>
                <w:szCs w:val="28"/>
                <w:lang w:eastAsia="zh-CN"/>
              </w:rPr>
              <w:t>中（二）</w:t>
            </w:r>
            <w:r>
              <w:rPr>
                <w:sz w:val="28"/>
                <w:szCs w:val="28"/>
              </w:rPr>
              <w:t>技术要求的逐项应答情况，由</w:t>
            </w:r>
            <w:r>
              <w:rPr>
                <w:rFonts w:hint="eastAsia"/>
                <w:sz w:val="28"/>
                <w:szCs w:val="28"/>
                <w:lang w:eastAsia="zh-CN"/>
              </w:rPr>
              <w:t>评分小组</w:t>
            </w:r>
            <w:r>
              <w:rPr>
                <w:sz w:val="28"/>
                <w:szCs w:val="28"/>
              </w:rPr>
              <w:t>进行评分： 完全满足竞争性磋商文件技术参数要求的得</w:t>
            </w:r>
            <w:r>
              <w:rPr>
                <w:rFonts w:hint="eastAsia"/>
                <w:sz w:val="28"/>
                <w:szCs w:val="28"/>
                <w:lang w:val="en-US" w:eastAsia="zh-CN"/>
              </w:rPr>
              <w:t>50</w:t>
            </w:r>
            <w:r>
              <w:rPr>
                <w:sz w:val="28"/>
                <w:szCs w:val="28"/>
              </w:rPr>
              <w:t>分，标注★的参数为不允许负偏离的实质性要求，有出现负偏离的按无效响应处理,未标注符号的技术参数（共计</w:t>
            </w:r>
            <w:r>
              <w:rPr>
                <w:rFonts w:hint="eastAsia"/>
                <w:sz w:val="28"/>
                <w:szCs w:val="28"/>
                <w:lang w:val="en-US" w:eastAsia="zh-CN"/>
              </w:rPr>
              <w:t>20</w:t>
            </w:r>
            <w:r>
              <w:rPr>
                <w:sz w:val="28"/>
                <w:szCs w:val="28"/>
              </w:rPr>
              <w:t>项）每负偏离一项扣</w:t>
            </w:r>
            <w:r>
              <w:rPr>
                <w:rFonts w:hint="eastAsia"/>
                <w:sz w:val="28"/>
                <w:szCs w:val="28"/>
                <w:lang w:val="en-US" w:eastAsia="zh-CN"/>
              </w:rPr>
              <w:t>2.5</w:t>
            </w:r>
            <w:r>
              <w:rPr>
                <w:sz w:val="28"/>
                <w:szCs w:val="28"/>
              </w:rPr>
              <w:t>分，正偏离不加分。</w:t>
            </w:r>
          </w:p>
        </w:tc>
      </w:tr>
      <w:tr w14:paraId="180F8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4DDD5F02">
            <w:pPr>
              <w:pStyle w:val="26"/>
              <w:jc w:val="left"/>
              <w:rPr>
                <w:sz w:val="28"/>
                <w:szCs w:val="28"/>
              </w:rPr>
            </w:pPr>
            <w:r>
              <w:rPr>
                <w:sz w:val="28"/>
                <w:szCs w:val="28"/>
              </w:rPr>
              <w:t>质量保证方案</w:t>
            </w:r>
          </w:p>
        </w:tc>
        <w:tc>
          <w:tcPr>
            <w:tcW w:w="1139" w:type="dxa"/>
          </w:tcPr>
          <w:p w14:paraId="1B0A5AC1">
            <w:pPr>
              <w:pStyle w:val="26"/>
              <w:jc w:val="right"/>
              <w:rPr>
                <w:sz w:val="28"/>
                <w:szCs w:val="28"/>
              </w:rPr>
            </w:pPr>
            <w:r>
              <w:rPr>
                <w:sz w:val="28"/>
                <w:szCs w:val="28"/>
              </w:rPr>
              <w:t>3</w:t>
            </w:r>
          </w:p>
        </w:tc>
        <w:tc>
          <w:tcPr>
            <w:tcW w:w="4105" w:type="dxa"/>
          </w:tcPr>
          <w:p w14:paraId="578DC972">
            <w:pPr>
              <w:pStyle w:val="26"/>
              <w:jc w:val="left"/>
              <w:rPr>
                <w:sz w:val="28"/>
                <w:szCs w:val="28"/>
              </w:rPr>
            </w:pPr>
            <w:r>
              <w:rPr>
                <w:sz w:val="28"/>
                <w:szCs w:val="28"/>
              </w:rPr>
              <w:t>根据供应商针对本项目所提供的工程项目标准质量保证方案（内容包括但不限于：保证质量目标的措施、保证安全目标的措施、保证环境和施工组织设计），由</w:t>
            </w:r>
            <w:r>
              <w:rPr>
                <w:rFonts w:hint="eastAsia"/>
                <w:sz w:val="28"/>
                <w:szCs w:val="28"/>
                <w:lang w:eastAsia="zh-CN"/>
              </w:rPr>
              <w:t>评分小组</w:t>
            </w:r>
            <w:r>
              <w:rPr>
                <w:sz w:val="28"/>
                <w:szCs w:val="28"/>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sz w:val="28"/>
                <w:szCs w:val="28"/>
                <w:lang w:val="en-US" w:eastAsia="zh-CN"/>
              </w:rPr>
              <w:t>7</w:t>
            </w:r>
            <w:r>
              <w:rPr>
                <w:sz w:val="28"/>
                <w:szCs w:val="28"/>
              </w:rPr>
              <w:t>分；方案所包含的要点有缺漏或内容与要点相符但仅有纲要、内容简略，未展开详细阐述但基本能够适用于本项目的得2.</w:t>
            </w:r>
            <w:r>
              <w:rPr>
                <w:rFonts w:hint="eastAsia"/>
                <w:sz w:val="28"/>
                <w:szCs w:val="28"/>
                <w:lang w:val="en-US" w:eastAsia="zh-CN"/>
              </w:rPr>
              <w:t>4</w:t>
            </w:r>
            <w:r>
              <w:rPr>
                <w:sz w:val="28"/>
                <w:szCs w:val="28"/>
              </w:rPr>
              <w:t>分；未提供方案或内容存在明显错误、内容明显不适用于本项目需求的均不得分。</w:t>
            </w:r>
          </w:p>
        </w:tc>
      </w:tr>
      <w:tr w14:paraId="7D866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48E68BE5">
            <w:pPr>
              <w:pStyle w:val="26"/>
              <w:jc w:val="left"/>
              <w:rPr>
                <w:sz w:val="28"/>
                <w:szCs w:val="28"/>
              </w:rPr>
            </w:pPr>
            <w:r>
              <w:rPr>
                <w:sz w:val="28"/>
                <w:szCs w:val="28"/>
              </w:rPr>
              <w:t>施工方案情况</w:t>
            </w:r>
          </w:p>
        </w:tc>
        <w:tc>
          <w:tcPr>
            <w:tcW w:w="1139" w:type="dxa"/>
          </w:tcPr>
          <w:p w14:paraId="55079167">
            <w:pPr>
              <w:pStyle w:val="26"/>
              <w:jc w:val="right"/>
              <w:rPr>
                <w:sz w:val="28"/>
                <w:szCs w:val="28"/>
              </w:rPr>
            </w:pPr>
            <w:r>
              <w:rPr>
                <w:sz w:val="28"/>
                <w:szCs w:val="28"/>
              </w:rPr>
              <w:t>3</w:t>
            </w:r>
          </w:p>
        </w:tc>
        <w:tc>
          <w:tcPr>
            <w:tcW w:w="4105" w:type="dxa"/>
          </w:tcPr>
          <w:p w14:paraId="1366D2E6">
            <w:pPr>
              <w:pStyle w:val="26"/>
              <w:jc w:val="left"/>
              <w:rPr>
                <w:sz w:val="28"/>
                <w:szCs w:val="28"/>
              </w:rPr>
            </w:pPr>
            <w:r>
              <w:rPr>
                <w:sz w:val="28"/>
                <w:szCs w:val="28"/>
              </w:rPr>
              <w:t>根据供应商针对本项目所提供的施工方案（内容包括但不限于：施工流向和施工顺序、施工进度划分、主要施工方法和施工机械选择）情况，由</w:t>
            </w:r>
            <w:r>
              <w:rPr>
                <w:rFonts w:hint="eastAsia"/>
                <w:sz w:val="28"/>
                <w:szCs w:val="28"/>
                <w:lang w:eastAsia="zh-CN"/>
              </w:rPr>
              <w:t>评分小组</w:t>
            </w:r>
            <w:r>
              <w:rPr>
                <w:sz w:val="28"/>
                <w:szCs w:val="28"/>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sz w:val="28"/>
                <w:szCs w:val="28"/>
                <w:lang w:val="en-US" w:eastAsia="zh-CN"/>
              </w:rPr>
              <w:t>7</w:t>
            </w:r>
            <w:r>
              <w:rPr>
                <w:sz w:val="28"/>
                <w:szCs w:val="28"/>
              </w:rPr>
              <w:t>分；方案所包含的要点有缺漏或内容与要点相符但仅有纲要、内容简略，未展开详细阐述但基本能够适用于本项目的得2.</w:t>
            </w:r>
            <w:r>
              <w:rPr>
                <w:rFonts w:hint="eastAsia"/>
                <w:sz w:val="28"/>
                <w:szCs w:val="28"/>
                <w:lang w:val="en-US" w:eastAsia="zh-CN"/>
              </w:rPr>
              <w:t>4</w:t>
            </w:r>
            <w:r>
              <w:rPr>
                <w:sz w:val="28"/>
                <w:szCs w:val="28"/>
              </w:rPr>
              <w:t>分；未提供方案或内容存在明显错误、内容明显不适用于本项目需求的均不得分。</w:t>
            </w:r>
          </w:p>
        </w:tc>
      </w:tr>
      <w:tr w14:paraId="5D2A7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6E3EC80E">
            <w:pPr>
              <w:pStyle w:val="26"/>
              <w:jc w:val="left"/>
              <w:rPr>
                <w:sz w:val="28"/>
                <w:szCs w:val="28"/>
              </w:rPr>
            </w:pPr>
            <w:r>
              <w:rPr>
                <w:sz w:val="28"/>
                <w:szCs w:val="28"/>
              </w:rPr>
              <w:t>安全管理方案</w:t>
            </w:r>
          </w:p>
        </w:tc>
        <w:tc>
          <w:tcPr>
            <w:tcW w:w="1139" w:type="dxa"/>
          </w:tcPr>
          <w:p w14:paraId="5E358F73">
            <w:pPr>
              <w:pStyle w:val="26"/>
              <w:jc w:val="right"/>
              <w:rPr>
                <w:sz w:val="28"/>
                <w:szCs w:val="28"/>
              </w:rPr>
            </w:pPr>
            <w:r>
              <w:rPr>
                <w:sz w:val="28"/>
                <w:szCs w:val="28"/>
              </w:rPr>
              <w:t>3</w:t>
            </w:r>
          </w:p>
        </w:tc>
        <w:tc>
          <w:tcPr>
            <w:tcW w:w="4105" w:type="dxa"/>
          </w:tcPr>
          <w:p w14:paraId="191849EA">
            <w:pPr>
              <w:pStyle w:val="26"/>
              <w:jc w:val="left"/>
              <w:rPr>
                <w:sz w:val="28"/>
                <w:szCs w:val="28"/>
              </w:rPr>
            </w:pPr>
            <w:r>
              <w:rPr>
                <w:sz w:val="28"/>
                <w:szCs w:val="28"/>
              </w:rPr>
              <w:t>根据供应商针对本项目所提供的工程施工过程安全管理方案（内容包括但不限于：安全人员配备情况、安全培训开展、预防措施），由</w:t>
            </w:r>
            <w:r>
              <w:rPr>
                <w:rFonts w:hint="eastAsia"/>
                <w:sz w:val="28"/>
                <w:szCs w:val="28"/>
                <w:lang w:eastAsia="zh-CN"/>
              </w:rPr>
              <w:t>评分小组</w:t>
            </w:r>
            <w:r>
              <w:rPr>
                <w:sz w:val="28"/>
                <w:szCs w:val="28"/>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sz w:val="28"/>
                <w:szCs w:val="28"/>
                <w:lang w:val="en-US" w:eastAsia="zh-CN"/>
              </w:rPr>
              <w:t>7</w:t>
            </w:r>
            <w:r>
              <w:rPr>
                <w:sz w:val="28"/>
                <w:szCs w:val="28"/>
              </w:rPr>
              <w:t>分；方案所包含的要点有缺漏或内容与要点相符但仅有纲要、内容简略，未展开详细阐述但基本能够适用于本项目的得2.</w:t>
            </w:r>
            <w:r>
              <w:rPr>
                <w:rFonts w:hint="eastAsia"/>
                <w:sz w:val="28"/>
                <w:szCs w:val="28"/>
                <w:lang w:val="en-US" w:eastAsia="zh-CN"/>
              </w:rPr>
              <w:t>4</w:t>
            </w:r>
            <w:r>
              <w:rPr>
                <w:sz w:val="28"/>
                <w:szCs w:val="28"/>
              </w:rPr>
              <w:t>分；未提供方案或内容存在明显错误、内容明显不适用于本项目需求的均不得分。</w:t>
            </w:r>
          </w:p>
        </w:tc>
      </w:tr>
      <w:tr w14:paraId="24521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469CED5C">
            <w:pPr>
              <w:pStyle w:val="26"/>
              <w:jc w:val="left"/>
              <w:rPr>
                <w:sz w:val="28"/>
                <w:szCs w:val="28"/>
              </w:rPr>
            </w:pPr>
            <w:r>
              <w:rPr>
                <w:sz w:val="28"/>
                <w:szCs w:val="28"/>
              </w:rPr>
              <w:t>材料管理方案情况</w:t>
            </w:r>
          </w:p>
        </w:tc>
        <w:tc>
          <w:tcPr>
            <w:tcW w:w="1139" w:type="dxa"/>
          </w:tcPr>
          <w:p w14:paraId="080941D1">
            <w:pPr>
              <w:pStyle w:val="26"/>
              <w:jc w:val="right"/>
              <w:rPr>
                <w:sz w:val="28"/>
                <w:szCs w:val="28"/>
              </w:rPr>
            </w:pPr>
            <w:r>
              <w:rPr>
                <w:rFonts w:hint="eastAsia"/>
                <w:sz w:val="28"/>
                <w:szCs w:val="28"/>
                <w:lang w:val="en-US" w:eastAsia="zh-CN"/>
              </w:rPr>
              <w:t>3</w:t>
            </w:r>
          </w:p>
        </w:tc>
        <w:tc>
          <w:tcPr>
            <w:tcW w:w="4105" w:type="dxa"/>
          </w:tcPr>
          <w:p w14:paraId="41AE7F06">
            <w:pPr>
              <w:pStyle w:val="26"/>
              <w:jc w:val="left"/>
              <w:rPr>
                <w:sz w:val="28"/>
                <w:szCs w:val="28"/>
              </w:rPr>
            </w:pPr>
            <w:r>
              <w:rPr>
                <w:sz w:val="28"/>
                <w:szCs w:val="28"/>
              </w:rPr>
              <w:t>根据供应商针对本项目所提供的材料管理方案（内容包括但不限于：材料进场投入计划、材料质量保证措施、材料管理和验收措施）情况，由</w:t>
            </w:r>
            <w:r>
              <w:rPr>
                <w:rFonts w:hint="eastAsia"/>
                <w:sz w:val="28"/>
                <w:szCs w:val="28"/>
                <w:lang w:eastAsia="zh-CN"/>
              </w:rPr>
              <w:t>评分小组</w:t>
            </w:r>
            <w:r>
              <w:rPr>
                <w:sz w:val="28"/>
                <w:szCs w:val="28"/>
              </w:rPr>
              <w:t>进行评分：方案包含的要点齐全无缺漏项、内容与要点相符、每个要点均有展开详细的阐述且能够适用于本项目得</w:t>
            </w:r>
            <w:r>
              <w:rPr>
                <w:rFonts w:hint="eastAsia"/>
                <w:sz w:val="28"/>
                <w:szCs w:val="28"/>
                <w:lang w:val="en-US" w:eastAsia="zh-CN"/>
              </w:rPr>
              <w:t>3</w:t>
            </w:r>
            <w:r>
              <w:rPr>
                <w:sz w:val="28"/>
                <w:szCs w:val="28"/>
              </w:rPr>
              <w:t>分；方案所包含的要点齐全、内容与要点相符、每个要点均有展开阐述（没有特别具体）但基本能够适用于本项目的得</w:t>
            </w:r>
            <w:r>
              <w:rPr>
                <w:rFonts w:hint="eastAsia"/>
                <w:sz w:val="28"/>
                <w:szCs w:val="28"/>
                <w:lang w:val="en-US" w:eastAsia="zh-CN"/>
              </w:rPr>
              <w:t>2</w:t>
            </w:r>
            <w:r>
              <w:rPr>
                <w:sz w:val="28"/>
                <w:szCs w:val="28"/>
              </w:rPr>
              <w:t>.</w:t>
            </w:r>
            <w:r>
              <w:rPr>
                <w:rFonts w:hint="eastAsia"/>
                <w:sz w:val="28"/>
                <w:szCs w:val="28"/>
                <w:lang w:val="en-US" w:eastAsia="zh-CN"/>
              </w:rPr>
              <w:t>7</w:t>
            </w:r>
            <w:r>
              <w:rPr>
                <w:sz w:val="28"/>
                <w:szCs w:val="28"/>
              </w:rPr>
              <w:t>分；方案所包含的要点有缺漏或内容与要点相符但仅有纲要、内容简略，未展开详细阐述但基本能够适用于本项目的得</w:t>
            </w:r>
            <w:r>
              <w:rPr>
                <w:rFonts w:hint="eastAsia"/>
                <w:sz w:val="28"/>
                <w:szCs w:val="28"/>
                <w:lang w:val="en-US" w:eastAsia="zh-CN"/>
              </w:rPr>
              <w:t>2</w:t>
            </w:r>
            <w:r>
              <w:rPr>
                <w:sz w:val="28"/>
                <w:szCs w:val="28"/>
              </w:rPr>
              <w:t>.</w:t>
            </w:r>
            <w:r>
              <w:rPr>
                <w:rFonts w:hint="eastAsia"/>
                <w:sz w:val="28"/>
                <w:szCs w:val="28"/>
                <w:lang w:val="en-US" w:eastAsia="zh-CN"/>
              </w:rPr>
              <w:t>4</w:t>
            </w:r>
            <w:r>
              <w:rPr>
                <w:sz w:val="28"/>
                <w:szCs w:val="28"/>
              </w:rPr>
              <w:t>分；未提供方案或内容存在明显错误、内容明显不适用于本项目需求的均不得分。</w:t>
            </w:r>
          </w:p>
        </w:tc>
      </w:tr>
      <w:tr w14:paraId="138EB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05FAB89D">
            <w:pPr>
              <w:pStyle w:val="26"/>
              <w:jc w:val="left"/>
              <w:rPr>
                <w:sz w:val="28"/>
                <w:szCs w:val="28"/>
              </w:rPr>
            </w:pPr>
            <w:r>
              <w:rPr>
                <w:sz w:val="28"/>
                <w:szCs w:val="28"/>
              </w:rPr>
              <w:t>应急方案</w:t>
            </w:r>
          </w:p>
        </w:tc>
        <w:tc>
          <w:tcPr>
            <w:tcW w:w="1139" w:type="dxa"/>
          </w:tcPr>
          <w:p w14:paraId="2E0CC47B">
            <w:pPr>
              <w:pStyle w:val="26"/>
              <w:jc w:val="right"/>
              <w:rPr>
                <w:rFonts w:hint="eastAsia" w:eastAsiaTheme="minorEastAsia"/>
                <w:sz w:val="28"/>
                <w:szCs w:val="28"/>
                <w:lang w:eastAsia="zh-CN"/>
              </w:rPr>
            </w:pPr>
            <w:r>
              <w:rPr>
                <w:rFonts w:hint="eastAsia"/>
                <w:sz w:val="28"/>
                <w:szCs w:val="28"/>
                <w:lang w:val="en-US" w:eastAsia="zh-CN"/>
              </w:rPr>
              <w:t>3</w:t>
            </w:r>
          </w:p>
        </w:tc>
        <w:tc>
          <w:tcPr>
            <w:tcW w:w="4105" w:type="dxa"/>
          </w:tcPr>
          <w:p w14:paraId="12B58912">
            <w:pPr>
              <w:pStyle w:val="26"/>
              <w:jc w:val="left"/>
              <w:rPr>
                <w:sz w:val="28"/>
                <w:szCs w:val="28"/>
              </w:rPr>
            </w:pPr>
            <w:r>
              <w:rPr>
                <w:sz w:val="28"/>
                <w:szCs w:val="28"/>
              </w:rPr>
              <w:t>根据供应商针对本项目提供的应急突发问题处理方案（内容包括但不限于：恶劣天气、停水断电、设备故障等的响应及应对措施），由</w:t>
            </w:r>
            <w:r>
              <w:rPr>
                <w:rFonts w:hint="eastAsia"/>
                <w:sz w:val="28"/>
                <w:szCs w:val="28"/>
                <w:lang w:eastAsia="zh-CN"/>
              </w:rPr>
              <w:t>评分小组</w:t>
            </w:r>
            <w:r>
              <w:rPr>
                <w:sz w:val="28"/>
                <w:szCs w:val="28"/>
              </w:rPr>
              <w:t>进行评分：方案包含的要点齐全无缺漏项、内容与要点相符、每个要点均有展开详细的阐述且能够适用于本项目得</w:t>
            </w:r>
            <w:r>
              <w:rPr>
                <w:rFonts w:hint="eastAsia"/>
                <w:sz w:val="28"/>
                <w:szCs w:val="28"/>
                <w:lang w:val="en-US" w:eastAsia="zh-CN"/>
              </w:rPr>
              <w:t>3</w:t>
            </w:r>
            <w:r>
              <w:rPr>
                <w:sz w:val="28"/>
                <w:szCs w:val="28"/>
              </w:rPr>
              <w:t>分；方案所包含的要点齐全、内容与要点相符、每个要点均有展开阐述（没有特别具体）但基本能够适用于本项目的得</w:t>
            </w:r>
            <w:r>
              <w:rPr>
                <w:rFonts w:hint="eastAsia"/>
                <w:sz w:val="28"/>
                <w:szCs w:val="28"/>
                <w:lang w:val="en-US" w:eastAsia="zh-CN"/>
              </w:rPr>
              <w:t>2.7</w:t>
            </w:r>
            <w:r>
              <w:rPr>
                <w:sz w:val="28"/>
                <w:szCs w:val="28"/>
              </w:rPr>
              <w:t>分；方案所包含的要点有缺漏或内容与要点相符但仅有纲要、内容简略，未展开详细阐述但基本能够适用于本项目的得</w:t>
            </w:r>
            <w:r>
              <w:rPr>
                <w:rFonts w:hint="eastAsia"/>
                <w:sz w:val="28"/>
                <w:szCs w:val="28"/>
                <w:lang w:val="en-US" w:eastAsia="zh-CN"/>
              </w:rPr>
              <w:t>2</w:t>
            </w:r>
            <w:r>
              <w:rPr>
                <w:sz w:val="28"/>
                <w:szCs w:val="28"/>
              </w:rPr>
              <w:t>.</w:t>
            </w:r>
            <w:r>
              <w:rPr>
                <w:rFonts w:hint="eastAsia"/>
                <w:sz w:val="28"/>
                <w:szCs w:val="28"/>
                <w:lang w:val="en-US" w:eastAsia="zh-CN"/>
              </w:rPr>
              <w:t>4</w:t>
            </w:r>
            <w:r>
              <w:rPr>
                <w:sz w:val="28"/>
                <w:szCs w:val="28"/>
              </w:rPr>
              <w:t>分；未提供方案或内容存在明显错误、内容明显不适用于本项目需求的均不得分。</w:t>
            </w:r>
          </w:p>
        </w:tc>
      </w:tr>
      <w:tr w14:paraId="534C2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7B435901">
            <w:pPr>
              <w:pStyle w:val="26"/>
              <w:jc w:val="left"/>
              <w:rPr>
                <w:sz w:val="28"/>
                <w:szCs w:val="28"/>
              </w:rPr>
            </w:pPr>
            <w:r>
              <w:rPr>
                <w:sz w:val="28"/>
                <w:szCs w:val="28"/>
              </w:rPr>
              <w:t>项目经理</w:t>
            </w:r>
          </w:p>
        </w:tc>
        <w:tc>
          <w:tcPr>
            <w:tcW w:w="1139" w:type="dxa"/>
          </w:tcPr>
          <w:p w14:paraId="1A8C0477">
            <w:pPr>
              <w:pStyle w:val="26"/>
              <w:jc w:val="right"/>
              <w:rPr>
                <w:rFonts w:hint="eastAsia" w:eastAsiaTheme="minorEastAsia"/>
                <w:sz w:val="28"/>
                <w:szCs w:val="28"/>
                <w:lang w:val="en-US" w:eastAsia="zh-CN"/>
              </w:rPr>
            </w:pPr>
            <w:r>
              <w:rPr>
                <w:rFonts w:hint="eastAsia"/>
                <w:sz w:val="28"/>
                <w:szCs w:val="28"/>
                <w:lang w:val="en-US" w:eastAsia="zh-CN"/>
              </w:rPr>
              <w:t>2</w:t>
            </w:r>
          </w:p>
        </w:tc>
        <w:tc>
          <w:tcPr>
            <w:tcW w:w="4105" w:type="dxa"/>
          </w:tcPr>
          <w:p w14:paraId="6209697A">
            <w:pPr>
              <w:pStyle w:val="26"/>
              <w:jc w:val="left"/>
              <w:rPr>
                <w:sz w:val="28"/>
                <w:szCs w:val="28"/>
              </w:rPr>
            </w:pPr>
            <w:r>
              <w:rPr>
                <w:rFonts w:hint="eastAsia" w:asciiTheme="minorHAnsi" w:hAnsiTheme="minorHAnsi" w:eastAsiaTheme="minorEastAsia" w:cstheme="minorBidi"/>
                <w:sz w:val="28"/>
                <w:szCs w:val="28"/>
                <w:lang w:val="en-US" w:eastAsia="zh-Hans"/>
              </w:rPr>
              <w:t>供应商拟派的项目经理为二级及以上机电工程或建筑工程专业注册建造师并同时持有合格有效的安全生产考核合格证书B证的得2分。</w:t>
            </w:r>
            <w:r>
              <w:rPr>
                <w:rFonts w:hint="eastAsia" w:cstheme="minorBidi"/>
                <w:sz w:val="28"/>
                <w:szCs w:val="28"/>
                <w:lang w:val="en-US" w:eastAsia="zh-CN"/>
              </w:rPr>
              <w:t>需</w:t>
            </w:r>
            <w:r>
              <w:rPr>
                <w:rFonts w:hint="eastAsia" w:asciiTheme="minorHAnsi" w:hAnsiTheme="minorHAnsi" w:eastAsiaTheme="minorEastAsia" w:cstheme="minorBidi"/>
                <w:sz w:val="28"/>
                <w:szCs w:val="28"/>
                <w:lang w:val="en-US" w:eastAsia="zh-Hans"/>
              </w:rPr>
              <w:t>提供以住房和城乡建设行政主管部门颁发的有效执业注册证书以及响应文件提交截止时间前六个月任意一个月（不含响应文件提交截止当月）供应商为其缴纳的社保</w:t>
            </w:r>
            <w:r>
              <w:rPr>
                <w:rFonts w:hint="eastAsia" w:cstheme="minorBidi"/>
                <w:sz w:val="28"/>
                <w:szCs w:val="28"/>
                <w:lang w:val="en-US" w:eastAsia="zh-CN"/>
              </w:rPr>
              <w:t>缴费</w:t>
            </w:r>
            <w:r>
              <w:rPr>
                <w:rFonts w:hint="eastAsia" w:asciiTheme="minorHAnsi" w:hAnsiTheme="minorHAnsi" w:eastAsiaTheme="minorEastAsia" w:cstheme="minorBidi"/>
                <w:sz w:val="28"/>
                <w:szCs w:val="28"/>
                <w:lang w:val="en-US" w:eastAsia="zh-Hans"/>
              </w:rPr>
              <w:t>证明</w:t>
            </w:r>
            <w:r>
              <w:rPr>
                <w:rFonts w:hint="eastAsia" w:asciiTheme="minorHAnsi" w:hAnsiTheme="minorHAnsi" w:eastAsiaTheme="minorEastAsia" w:cstheme="minorBidi"/>
                <w:sz w:val="28"/>
                <w:szCs w:val="28"/>
                <w:lang w:val="en-US" w:eastAsia="zh-CN"/>
              </w:rPr>
              <w:t>，相关</w:t>
            </w:r>
            <w:r>
              <w:rPr>
                <w:rFonts w:hint="eastAsia" w:cstheme="minorBidi"/>
                <w:sz w:val="28"/>
                <w:szCs w:val="28"/>
                <w:lang w:val="en-US" w:eastAsia="zh-CN"/>
              </w:rPr>
              <w:t>证明</w:t>
            </w:r>
            <w:r>
              <w:rPr>
                <w:rFonts w:hint="eastAsia" w:asciiTheme="minorHAnsi" w:hAnsiTheme="minorHAnsi" w:eastAsiaTheme="minorEastAsia" w:cstheme="minorBidi"/>
                <w:sz w:val="28"/>
                <w:szCs w:val="28"/>
                <w:lang w:val="en-US" w:eastAsia="zh-CN"/>
              </w:rPr>
              <w:t>材料的复印件需加盖投标单位公章，</w:t>
            </w:r>
            <w:r>
              <w:rPr>
                <w:sz w:val="28"/>
                <w:szCs w:val="28"/>
              </w:rPr>
              <w:t>未提供或提供不全的本项不得分</w:t>
            </w:r>
            <w:r>
              <w:rPr>
                <w:rFonts w:hint="eastAsia" w:asciiTheme="minorHAnsi" w:hAnsiTheme="minorHAnsi" w:eastAsiaTheme="minorEastAsia" w:cstheme="minorBidi"/>
                <w:sz w:val="28"/>
                <w:szCs w:val="28"/>
                <w:lang w:val="en-US" w:eastAsia="zh-Hans"/>
              </w:rPr>
              <w:t>。</w:t>
            </w:r>
            <w:r>
              <w:rPr>
                <w:rFonts w:hint="eastAsia" w:asciiTheme="minorHAnsi" w:hAnsiTheme="minorHAnsi" w:eastAsiaTheme="minorEastAsia" w:cstheme="minorBidi"/>
                <w:b/>
                <w:bCs/>
                <w:sz w:val="28"/>
                <w:szCs w:val="28"/>
                <w:lang w:val="en-US" w:eastAsia="zh-Hans"/>
              </w:rPr>
              <w:t>注：项目经理与技术负责人不得为同一人</w:t>
            </w:r>
            <w:r>
              <w:rPr>
                <w:rFonts w:hint="eastAsia" w:asciiTheme="minorHAnsi" w:hAnsiTheme="minorHAnsi" w:eastAsiaTheme="minorEastAsia" w:cstheme="minorBidi"/>
                <w:sz w:val="28"/>
                <w:szCs w:val="28"/>
                <w:lang w:val="en-US" w:eastAsia="zh-Hans"/>
              </w:rPr>
              <w:t>。</w:t>
            </w:r>
          </w:p>
        </w:tc>
      </w:tr>
      <w:tr w14:paraId="0DBBA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25C5D780">
            <w:pPr>
              <w:pStyle w:val="26"/>
              <w:jc w:val="left"/>
              <w:rPr>
                <w:sz w:val="28"/>
                <w:szCs w:val="28"/>
              </w:rPr>
            </w:pPr>
            <w:r>
              <w:rPr>
                <w:sz w:val="28"/>
                <w:szCs w:val="28"/>
              </w:rPr>
              <w:t>人员配备</w:t>
            </w:r>
          </w:p>
        </w:tc>
        <w:tc>
          <w:tcPr>
            <w:tcW w:w="1139" w:type="dxa"/>
          </w:tcPr>
          <w:p w14:paraId="4A58991C">
            <w:pPr>
              <w:pStyle w:val="26"/>
              <w:jc w:val="right"/>
              <w:rPr>
                <w:rFonts w:hint="eastAsia" w:eastAsiaTheme="minorEastAsia"/>
                <w:sz w:val="28"/>
                <w:szCs w:val="28"/>
                <w:lang w:eastAsia="zh-CN"/>
              </w:rPr>
            </w:pPr>
            <w:r>
              <w:rPr>
                <w:rFonts w:hint="eastAsia"/>
                <w:sz w:val="28"/>
                <w:szCs w:val="28"/>
                <w:lang w:val="en-US" w:eastAsia="zh-CN"/>
              </w:rPr>
              <w:t>2</w:t>
            </w:r>
          </w:p>
        </w:tc>
        <w:tc>
          <w:tcPr>
            <w:tcW w:w="4105" w:type="dxa"/>
          </w:tcPr>
          <w:p w14:paraId="14DFB470">
            <w:pPr>
              <w:pStyle w:val="26"/>
              <w:jc w:val="left"/>
              <w:rPr>
                <w:sz w:val="28"/>
                <w:szCs w:val="28"/>
              </w:rPr>
            </w:pPr>
            <w:r>
              <w:rPr>
                <w:sz w:val="28"/>
                <w:szCs w:val="28"/>
              </w:rPr>
              <w:t>根据供应商拟配备的施工员、机械员、材料员、安全员（各岗位人员不得重复）的配置情况进行评分：每配备一个岗位人员的得0.5分，满分</w:t>
            </w:r>
            <w:r>
              <w:rPr>
                <w:rFonts w:hint="eastAsia"/>
                <w:sz w:val="28"/>
                <w:szCs w:val="28"/>
                <w:lang w:val="en-US" w:eastAsia="zh-CN"/>
              </w:rPr>
              <w:t>2</w:t>
            </w:r>
            <w:r>
              <w:rPr>
                <w:sz w:val="28"/>
                <w:szCs w:val="28"/>
              </w:rPr>
              <w:t>分。 供应商</w:t>
            </w:r>
            <w:r>
              <w:rPr>
                <w:rFonts w:hint="eastAsia"/>
                <w:sz w:val="28"/>
                <w:szCs w:val="28"/>
                <w:lang w:eastAsia="zh-CN"/>
              </w:rPr>
              <w:t>需</w:t>
            </w:r>
            <w:r>
              <w:rPr>
                <w:sz w:val="28"/>
                <w:szCs w:val="28"/>
              </w:rPr>
              <w:t>提供人员清单、相关岗位证书复印件，</w:t>
            </w:r>
            <w:r>
              <w:rPr>
                <w:rFonts w:hint="eastAsia" w:asciiTheme="minorHAnsi" w:hAnsiTheme="minorHAnsi" w:eastAsiaTheme="minorEastAsia" w:cstheme="minorBidi"/>
                <w:sz w:val="28"/>
                <w:szCs w:val="28"/>
                <w:lang w:val="en-US" w:eastAsia="zh-Hans"/>
              </w:rPr>
              <w:t>须提供以住房和城乡建设行政主管部门颁发的有效执业注册证书以及响应文件提交截止时间前六个月任意一个月（不含响应文件提交截止当月）供应商为其缴纳的社保</w:t>
            </w:r>
            <w:r>
              <w:rPr>
                <w:rFonts w:hint="eastAsia" w:cstheme="minorBidi"/>
                <w:sz w:val="28"/>
                <w:szCs w:val="28"/>
                <w:lang w:val="en-US" w:eastAsia="zh-CN"/>
              </w:rPr>
              <w:t>缴费</w:t>
            </w:r>
            <w:r>
              <w:rPr>
                <w:rFonts w:hint="eastAsia" w:asciiTheme="minorHAnsi" w:hAnsiTheme="minorHAnsi" w:eastAsiaTheme="minorEastAsia" w:cstheme="minorBidi"/>
                <w:sz w:val="28"/>
                <w:szCs w:val="28"/>
                <w:lang w:val="en-US" w:eastAsia="zh-Hans"/>
              </w:rPr>
              <w:t>证明</w:t>
            </w:r>
            <w:r>
              <w:rPr>
                <w:rFonts w:hint="eastAsia" w:asciiTheme="minorHAnsi" w:hAnsiTheme="minorHAnsi" w:eastAsiaTheme="minorEastAsia" w:cstheme="minorBidi"/>
                <w:sz w:val="28"/>
                <w:szCs w:val="28"/>
                <w:lang w:val="en-US" w:eastAsia="zh-CN"/>
              </w:rPr>
              <w:t>，相关</w:t>
            </w:r>
            <w:r>
              <w:rPr>
                <w:rFonts w:hint="eastAsia" w:cstheme="minorBidi"/>
                <w:sz w:val="28"/>
                <w:szCs w:val="28"/>
                <w:lang w:val="en-US" w:eastAsia="zh-CN"/>
              </w:rPr>
              <w:t>证明</w:t>
            </w:r>
            <w:r>
              <w:rPr>
                <w:rFonts w:hint="eastAsia" w:asciiTheme="minorHAnsi" w:hAnsiTheme="minorHAnsi" w:eastAsiaTheme="minorEastAsia" w:cstheme="minorBidi"/>
                <w:sz w:val="28"/>
                <w:szCs w:val="28"/>
                <w:lang w:val="en-US" w:eastAsia="zh-CN"/>
              </w:rPr>
              <w:t>材料的复印件需加盖投标单位公章，</w:t>
            </w:r>
            <w:r>
              <w:rPr>
                <w:sz w:val="28"/>
                <w:szCs w:val="28"/>
              </w:rPr>
              <w:t>未提供的本项不得分</w:t>
            </w:r>
            <w:r>
              <w:rPr>
                <w:rFonts w:hint="eastAsia" w:asciiTheme="minorHAnsi" w:hAnsiTheme="minorHAnsi" w:eastAsiaTheme="minorEastAsia" w:cstheme="minorBidi"/>
                <w:sz w:val="28"/>
                <w:szCs w:val="28"/>
                <w:lang w:val="en-US" w:eastAsia="zh-Hans"/>
              </w:rPr>
              <w:t>。</w:t>
            </w:r>
            <w:r>
              <w:rPr>
                <w:rFonts w:hint="eastAsia"/>
                <w:b/>
                <w:bCs/>
                <w:sz w:val="28"/>
                <w:szCs w:val="28"/>
                <w:lang w:val="en-US" w:eastAsia="zh-Hans"/>
              </w:rPr>
              <w:t>该团队人员与项目经理、技术负责人不得为同一人。</w:t>
            </w:r>
          </w:p>
        </w:tc>
      </w:tr>
      <w:tr w14:paraId="4F98F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78" w:type="dxa"/>
          </w:tcPr>
          <w:p w14:paraId="7E9C4955">
            <w:pPr>
              <w:pStyle w:val="26"/>
              <w:jc w:val="left"/>
              <w:rPr>
                <w:rFonts w:hint="default" w:eastAsiaTheme="minorEastAsia"/>
                <w:sz w:val="28"/>
                <w:szCs w:val="28"/>
                <w:lang w:val="en-US" w:eastAsia="zh-CN"/>
              </w:rPr>
            </w:pPr>
            <w:r>
              <w:rPr>
                <w:rFonts w:hint="eastAsia" w:cs="微软雅黑" w:asciiTheme="minorEastAsia" w:hAnsiTheme="minorEastAsia"/>
                <w:color w:val="auto"/>
                <w:kern w:val="0"/>
                <w:sz w:val="28"/>
                <w:szCs w:val="28"/>
                <w:highlight w:val="none"/>
                <w:lang w:val="en-US" w:eastAsia="zh-CN"/>
              </w:rPr>
              <w:t>技术负责人</w:t>
            </w:r>
          </w:p>
        </w:tc>
        <w:tc>
          <w:tcPr>
            <w:tcW w:w="1139" w:type="dxa"/>
          </w:tcPr>
          <w:p w14:paraId="0E9CBE89">
            <w:pPr>
              <w:pStyle w:val="26"/>
              <w:jc w:val="right"/>
              <w:rPr>
                <w:rFonts w:hint="default" w:eastAsiaTheme="minorEastAsia"/>
                <w:sz w:val="28"/>
                <w:szCs w:val="28"/>
                <w:lang w:val="en-US" w:eastAsia="zh-CN"/>
              </w:rPr>
            </w:pPr>
            <w:r>
              <w:rPr>
                <w:rFonts w:hint="eastAsia"/>
                <w:sz w:val="28"/>
                <w:szCs w:val="28"/>
                <w:lang w:val="en-US" w:eastAsia="zh-CN"/>
              </w:rPr>
              <w:t>1</w:t>
            </w:r>
          </w:p>
        </w:tc>
        <w:tc>
          <w:tcPr>
            <w:tcW w:w="4105" w:type="dxa"/>
          </w:tcPr>
          <w:p w14:paraId="6DE8869E">
            <w:pPr>
              <w:pStyle w:val="26"/>
              <w:jc w:val="left"/>
              <w:rPr>
                <w:sz w:val="28"/>
                <w:szCs w:val="28"/>
              </w:rPr>
            </w:pPr>
            <w:r>
              <w:rPr>
                <w:sz w:val="28"/>
                <w:szCs w:val="28"/>
              </w:rPr>
              <w:t>根据供应商为本项目拟配备的</w:t>
            </w:r>
            <w:r>
              <w:rPr>
                <w:rFonts w:hint="eastAsia" w:cs="微软雅黑" w:asciiTheme="minorEastAsia" w:hAnsiTheme="minorEastAsia"/>
                <w:color w:val="auto"/>
                <w:kern w:val="0"/>
                <w:sz w:val="28"/>
                <w:szCs w:val="28"/>
                <w:highlight w:val="none"/>
                <w:lang w:val="en-US" w:eastAsia="zh-CN"/>
              </w:rPr>
              <w:t>技术负责人</w:t>
            </w:r>
            <w:r>
              <w:rPr>
                <w:sz w:val="28"/>
                <w:szCs w:val="28"/>
              </w:rPr>
              <w:t>具有人力资源和社会保障部门颁发的中级或以上职称（建筑工程专业或工程管理专业）的得1分。 注：</w:t>
            </w:r>
            <w:r>
              <w:rPr>
                <w:rFonts w:hint="eastAsia"/>
                <w:sz w:val="28"/>
                <w:szCs w:val="28"/>
                <w:lang w:eastAsia="zh-CN"/>
              </w:rPr>
              <w:t>需</w:t>
            </w:r>
            <w:r>
              <w:rPr>
                <w:sz w:val="28"/>
                <w:szCs w:val="28"/>
              </w:rPr>
              <w:t>提供有效证书复印件及首次响应文件递交截止时间前六个月内任意一个月（不含首次响应文件递交截止时间当月）供应商为其缴纳的社保证明，</w:t>
            </w:r>
            <w:r>
              <w:rPr>
                <w:rFonts w:hint="eastAsia" w:asciiTheme="minorHAnsi" w:hAnsiTheme="minorHAnsi" w:eastAsiaTheme="minorEastAsia" w:cstheme="minorBidi"/>
                <w:sz w:val="28"/>
                <w:szCs w:val="28"/>
                <w:lang w:val="en-US" w:eastAsia="zh-CN"/>
              </w:rPr>
              <w:t>相关</w:t>
            </w:r>
            <w:r>
              <w:rPr>
                <w:rFonts w:hint="eastAsia" w:cstheme="minorBidi"/>
                <w:sz w:val="28"/>
                <w:szCs w:val="28"/>
                <w:lang w:val="en-US" w:eastAsia="zh-CN"/>
              </w:rPr>
              <w:t>证明</w:t>
            </w:r>
            <w:r>
              <w:rPr>
                <w:rFonts w:hint="eastAsia" w:asciiTheme="minorHAnsi" w:hAnsiTheme="minorHAnsi" w:eastAsiaTheme="minorEastAsia" w:cstheme="minorBidi"/>
                <w:sz w:val="28"/>
                <w:szCs w:val="28"/>
                <w:lang w:val="en-US" w:eastAsia="zh-CN"/>
              </w:rPr>
              <w:t>材料的复印件需加盖投标单位公章，</w:t>
            </w:r>
            <w:r>
              <w:rPr>
                <w:sz w:val="28"/>
                <w:szCs w:val="28"/>
              </w:rPr>
              <w:t>未提供或提供不全的本项不得分。</w:t>
            </w:r>
            <w:r>
              <w:rPr>
                <w:rFonts w:hint="eastAsia"/>
                <w:b/>
                <w:bCs/>
                <w:sz w:val="28"/>
                <w:szCs w:val="28"/>
              </w:rPr>
              <w:t>注：项目经理与技术负责人不得为同一人</w:t>
            </w:r>
            <w:r>
              <w:rPr>
                <w:rFonts w:hint="eastAsia"/>
                <w:b/>
                <w:bCs/>
                <w:sz w:val="28"/>
                <w:szCs w:val="28"/>
                <w:lang w:val="en-US" w:eastAsia="zh-Hans"/>
              </w:rPr>
              <w:t>。</w:t>
            </w:r>
          </w:p>
        </w:tc>
      </w:tr>
    </w:tbl>
    <w:p w14:paraId="515F9A15">
      <w:pPr>
        <w:pStyle w:val="26"/>
        <w:jc w:val="left"/>
        <w:rPr>
          <w:sz w:val="28"/>
          <w:szCs w:val="28"/>
        </w:rPr>
      </w:pPr>
    </w:p>
    <w:p w14:paraId="666D7FC3">
      <w:pPr>
        <w:pStyle w:val="26"/>
        <w:jc w:val="left"/>
        <w:rPr>
          <w:sz w:val="28"/>
          <w:szCs w:val="28"/>
        </w:rPr>
      </w:pPr>
    </w:p>
    <w:p w14:paraId="56812DB1">
      <w:pPr>
        <w:pStyle w:val="26"/>
        <w:jc w:val="left"/>
        <w:rPr>
          <w:sz w:val="28"/>
          <w:szCs w:val="28"/>
        </w:rPr>
      </w:pPr>
    </w:p>
    <w:p w14:paraId="4C54D1DC">
      <w:pPr>
        <w:pStyle w:val="11"/>
        <w:spacing w:before="0" w:beforeAutospacing="0" w:after="150" w:afterAutospacing="0"/>
        <w:rPr>
          <w:sz w:val="28"/>
          <w:szCs w:val="28"/>
        </w:rPr>
      </w:pPr>
      <w:r>
        <w:rPr>
          <w:rFonts w:hint="eastAsia" w:ascii="宋体" w:hAnsi="宋体" w:eastAsia="宋体" w:cs="宋体"/>
          <w:sz w:val="28"/>
          <w:szCs w:val="28"/>
        </w:rPr>
        <w:t>③商务项（F3×A3）满分为10分。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68E08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4FBC62">
            <w:pPr>
              <w:pStyle w:val="26"/>
              <w:jc w:val="left"/>
              <w:rPr>
                <w:sz w:val="28"/>
                <w:szCs w:val="28"/>
              </w:rPr>
            </w:pPr>
            <w:r>
              <w:rPr>
                <w:sz w:val="28"/>
                <w:szCs w:val="28"/>
              </w:rPr>
              <w:t xml:space="preserve"> 项目</w:t>
            </w:r>
          </w:p>
        </w:tc>
        <w:tc>
          <w:tcPr>
            <w:tcW w:w="831" w:type="dxa"/>
          </w:tcPr>
          <w:p w14:paraId="5DEC2C78">
            <w:pPr>
              <w:pStyle w:val="26"/>
              <w:jc w:val="left"/>
              <w:rPr>
                <w:sz w:val="28"/>
                <w:szCs w:val="28"/>
              </w:rPr>
            </w:pPr>
            <w:r>
              <w:rPr>
                <w:sz w:val="28"/>
                <w:szCs w:val="28"/>
              </w:rPr>
              <w:t xml:space="preserve"> 分值</w:t>
            </w:r>
          </w:p>
        </w:tc>
        <w:tc>
          <w:tcPr>
            <w:tcW w:w="4153" w:type="dxa"/>
          </w:tcPr>
          <w:p w14:paraId="02B8D26D">
            <w:pPr>
              <w:pStyle w:val="26"/>
              <w:jc w:val="left"/>
              <w:rPr>
                <w:sz w:val="28"/>
                <w:szCs w:val="28"/>
              </w:rPr>
            </w:pPr>
            <w:r>
              <w:rPr>
                <w:sz w:val="28"/>
                <w:szCs w:val="28"/>
              </w:rPr>
              <w:t xml:space="preserve"> 描述</w:t>
            </w:r>
          </w:p>
        </w:tc>
      </w:tr>
      <w:tr w14:paraId="053C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E043EC">
            <w:pPr>
              <w:pStyle w:val="26"/>
              <w:jc w:val="left"/>
              <w:rPr>
                <w:sz w:val="28"/>
                <w:szCs w:val="28"/>
              </w:rPr>
            </w:pPr>
            <w:r>
              <w:rPr>
                <w:sz w:val="28"/>
                <w:szCs w:val="28"/>
              </w:rPr>
              <w:t>业绩情况</w:t>
            </w:r>
          </w:p>
        </w:tc>
        <w:tc>
          <w:tcPr>
            <w:tcW w:w="831" w:type="dxa"/>
          </w:tcPr>
          <w:p w14:paraId="2A19FA19">
            <w:pPr>
              <w:pStyle w:val="26"/>
              <w:jc w:val="right"/>
              <w:rPr>
                <w:sz w:val="28"/>
                <w:szCs w:val="28"/>
              </w:rPr>
            </w:pPr>
            <w:r>
              <w:rPr>
                <w:sz w:val="28"/>
                <w:szCs w:val="28"/>
              </w:rPr>
              <w:t>3</w:t>
            </w:r>
          </w:p>
        </w:tc>
        <w:tc>
          <w:tcPr>
            <w:tcW w:w="4153" w:type="dxa"/>
          </w:tcPr>
          <w:p w14:paraId="3B76B1B0">
            <w:pPr>
              <w:pStyle w:val="26"/>
              <w:jc w:val="left"/>
              <w:rPr>
                <w:sz w:val="28"/>
                <w:szCs w:val="28"/>
              </w:rPr>
            </w:pPr>
            <w:r>
              <w:rPr>
                <w:sz w:val="28"/>
                <w:szCs w:val="28"/>
              </w:rPr>
              <w:t>根据供应商提供自2021年1月1日起至本次首次响应文件递交截止时间止（日期以合同签订时间为准）由供应商完成的与本项目同类项目业绩情况进行评分：每提供一份完整业绩的得</w:t>
            </w:r>
            <w:r>
              <w:rPr>
                <w:rFonts w:hint="eastAsia"/>
                <w:sz w:val="28"/>
                <w:szCs w:val="28"/>
                <w:lang w:val="en-US" w:eastAsia="zh-CN"/>
              </w:rPr>
              <w:t>1</w:t>
            </w:r>
            <w:r>
              <w:rPr>
                <w:sz w:val="28"/>
                <w:szCs w:val="28"/>
              </w:rPr>
              <w:t>分，满分3分。 注：供应商须提供承诺函（格式自拟），承诺其项目真实性，采购人随时保留追究法律责任的权利，同时供应商须提供该业绩的中标（成交）公告（提供相关网站中标（成交）公告的下载网页并注明网址）、中标（成交）通知书复印件、采购合同文本复印件、以及能够证明该业绩项目已经采购人验收合格的相关证明文件复印件，未提供或未完整提供上述相关证明材料的不得分。【“业绩情况”、“项目经理业绩”评分项提供同一合同项目的不可重复得分】</w:t>
            </w:r>
          </w:p>
        </w:tc>
      </w:tr>
      <w:tr w14:paraId="243B9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9B309BA">
            <w:pPr>
              <w:pStyle w:val="26"/>
              <w:jc w:val="left"/>
              <w:rPr>
                <w:sz w:val="28"/>
                <w:szCs w:val="28"/>
              </w:rPr>
            </w:pPr>
            <w:r>
              <w:rPr>
                <w:rFonts w:hint="eastAsia"/>
                <w:sz w:val="28"/>
                <w:szCs w:val="28"/>
              </w:rPr>
              <w:t>企业实力</w:t>
            </w:r>
          </w:p>
        </w:tc>
        <w:tc>
          <w:tcPr>
            <w:tcW w:w="831" w:type="dxa"/>
          </w:tcPr>
          <w:p w14:paraId="761C9871">
            <w:pPr>
              <w:pStyle w:val="26"/>
              <w:jc w:val="left"/>
              <w:rPr>
                <w:sz w:val="28"/>
                <w:szCs w:val="28"/>
              </w:rPr>
            </w:pPr>
            <w:r>
              <w:rPr>
                <w:rFonts w:hint="eastAsia"/>
                <w:sz w:val="28"/>
                <w:szCs w:val="28"/>
                <w:lang w:val="en-US" w:eastAsia="zh-CN"/>
              </w:rPr>
              <w:t>1</w:t>
            </w:r>
          </w:p>
        </w:tc>
        <w:tc>
          <w:tcPr>
            <w:tcW w:w="4153" w:type="dxa"/>
          </w:tcPr>
          <w:p w14:paraId="010EAD45">
            <w:pPr>
              <w:pStyle w:val="26"/>
              <w:jc w:val="left"/>
              <w:rPr>
                <w:sz w:val="28"/>
                <w:szCs w:val="28"/>
              </w:rPr>
            </w:pPr>
            <w:r>
              <w:rPr>
                <w:rFonts w:hint="eastAsia"/>
                <w:sz w:val="28"/>
                <w:szCs w:val="28"/>
              </w:rPr>
              <w:t>供应商具有建筑行业（建筑工程）设计资质或具有建筑装饰工程设计专项资质的得</w:t>
            </w:r>
            <w:r>
              <w:rPr>
                <w:rFonts w:hint="eastAsia"/>
                <w:sz w:val="28"/>
                <w:szCs w:val="28"/>
                <w:lang w:val="en-US" w:eastAsia="zh-CN"/>
              </w:rPr>
              <w:t>1</w:t>
            </w:r>
            <w:r>
              <w:rPr>
                <w:rFonts w:hint="eastAsia"/>
                <w:sz w:val="28"/>
                <w:szCs w:val="28"/>
              </w:rPr>
              <w:t>分，需提供资质证书复印件并加盖公章。未提供不得分。</w:t>
            </w:r>
          </w:p>
        </w:tc>
      </w:tr>
      <w:tr w14:paraId="306A7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0611E1">
            <w:pPr>
              <w:pStyle w:val="26"/>
              <w:jc w:val="left"/>
              <w:rPr>
                <w:sz w:val="28"/>
                <w:szCs w:val="28"/>
              </w:rPr>
            </w:pPr>
            <w:r>
              <w:rPr>
                <w:sz w:val="28"/>
                <w:szCs w:val="28"/>
              </w:rPr>
              <w:t>项目经理业绩</w:t>
            </w:r>
          </w:p>
        </w:tc>
        <w:tc>
          <w:tcPr>
            <w:tcW w:w="831" w:type="dxa"/>
          </w:tcPr>
          <w:p w14:paraId="371529A4">
            <w:pPr>
              <w:pStyle w:val="26"/>
              <w:jc w:val="both"/>
              <w:rPr>
                <w:sz w:val="28"/>
                <w:szCs w:val="28"/>
              </w:rPr>
            </w:pPr>
            <w:r>
              <w:rPr>
                <w:sz w:val="28"/>
                <w:szCs w:val="28"/>
              </w:rPr>
              <w:t>3</w:t>
            </w:r>
          </w:p>
        </w:tc>
        <w:tc>
          <w:tcPr>
            <w:tcW w:w="4153" w:type="dxa"/>
          </w:tcPr>
          <w:p w14:paraId="1E3916E7">
            <w:pPr>
              <w:pStyle w:val="26"/>
              <w:jc w:val="left"/>
              <w:rPr>
                <w:sz w:val="28"/>
                <w:szCs w:val="28"/>
              </w:rPr>
            </w:pPr>
            <w:r>
              <w:rPr>
                <w:sz w:val="28"/>
                <w:szCs w:val="28"/>
              </w:rPr>
              <w:t>供应商为本项目拟配备的项目经理自2021年1月1日起至本次首次响应文件递交截止时间止 （日期以合同签订时间为准）已完成的与本项目同类项目业绩进行评分：提供一份得1.5分，满分3分。 注：供应商须提供该业绩的中标（成交）公告（提供相关网站中标（成交）公告的下载网页并注明网址）、中标（成交）通知书复印件、采购合同文本复印件（能体现项目经理姓名）、以及能够证明该业绩项目已经采购人验收合格的相关证明文件复印件，未提供或未完整提供上述相关证明材料的不得分。【“业绩情况”、“项目经理业绩”评分项提供同一合同项目的不可重复得分】</w:t>
            </w:r>
          </w:p>
        </w:tc>
      </w:tr>
      <w:tr w14:paraId="7BAFF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CEC94C">
            <w:pPr>
              <w:pStyle w:val="26"/>
              <w:jc w:val="left"/>
              <w:rPr>
                <w:sz w:val="28"/>
                <w:szCs w:val="28"/>
              </w:rPr>
            </w:pPr>
            <w:r>
              <w:rPr>
                <w:sz w:val="28"/>
                <w:szCs w:val="28"/>
              </w:rPr>
              <w:t>售后服务方案情况</w:t>
            </w:r>
          </w:p>
        </w:tc>
        <w:tc>
          <w:tcPr>
            <w:tcW w:w="831" w:type="dxa"/>
          </w:tcPr>
          <w:p w14:paraId="3C76FC4C">
            <w:pPr>
              <w:pStyle w:val="26"/>
              <w:jc w:val="right"/>
              <w:rPr>
                <w:sz w:val="28"/>
                <w:szCs w:val="28"/>
              </w:rPr>
            </w:pPr>
            <w:r>
              <w:rPr>
                <w:sz w:val="28"/>
                <w:szCs w:val="28"/>
              </w:rPr>
              <w:t>3</w:t>
            </w:r>
          </w:p>
        </w:tc>
        <w:tc>
          <w:tcPr>
            <w:tcW w:w="4153" w:type="dxa"/>
          </w:tcPr>
          <w:p w14:paraId="5EF01C75">
            <w:pPr>
              <w:pStyle w:val="26"/>
              <w:jc w:val="left"/>
              <w:rPr>
                <w:sz w:val="28"/>
                <w:szCs w:val="28"/>
              </w:rPr>
            </w:pPr>
            <w:r>
              <w:rPr>
                <w:rFonts w:hint="eastAsia"/>
                <w:sz w:val="28"/>
                <w:szCs w:val="28"/>
              </w:rPr>
              <w:t>根据供应商提供的售后服务方案（包括但不限于：维保期内的服务、响应计划、维保期后的服务等）由</w:t>
            </w:r>
            <w:r>
              <w:rPr>
                <w:rFonts w:hint="eastAsia"/>
                <w:sz w:val="28"/>
                <w:szCs w:val="28"/>
                <w:lang w:eastAsia="zh-CN"/>
              </w:rPr>
              <w:t>评分小组</w:t>
            </w:r>
            <w:r>
              <w:rPr>
                <w:rFonts w:hint="eastAsia"/>
                <w:sz w:val="28"/>
                <w:szCs w:val="28"/>
              </w:rPr>
              <w:t>进行评分：方案详实、完整、有针对性的得</w:t>
            </w:r>
            <w:r>
              <w:rPr>
                <w:rFonts w:hint="eastAsia"/>
                <w:sz w:val="28"/>
                <w:szCs w:val="28"/>
                <w:lang w:val="en-US" w:eastAsia="zh-CN"/>
              </w:rPr>
              <w:t>3</w:t>
            </w:r>
            <w:r>
              <w:rPr>
                <w:rFonts w:hint="eastAsia"/>
                <w:sz w:val="28"/>
                <w:szCs w:val="28"/>
              </w:rPr>
              <w:t>分；方案较为详实或内容比较有针对性的得</w:t>
            </w:r>
            <w:r>
              <w:rPr>
                <w:rFonts w:hint="eastAsia"/>
                <w:sz w:val="28"/>
                <w:szCs w:val="28"/>
                <w:lang w:val="en-US" w:eastAsia="zh-CN"/>
              </w:rPr>
              <w:t>2</w:t>
            </w:r>
            <w:r>
              <w:rPr>
                <w:rFonts w:hint="eastAsia"/>
                <w:sz w:val="28"/>
                <w:szCs w:val="28"/>
              </w:rPr>
              <w:t>分；方案部分详实或部分内容有针对性的得</w:t>
            </w:r>
            <w:r>
              <w:rPr>
                <w:rFonts w:hint="eastAsia"/>
                <w:sz w:val="28"/>
                <w:szCs w:val="28"/>
                <w:lang w:val="en-US" w:eastAsia="zh-CN"/>
              </w:rPr>
              <w:t>1</w:t>
            </w:r>
            <w:r>
              <w:rPr>
                <w:rFonts w:hint="eastAsia"/>
                <w:sz w:val="28"/>
                <w:szCs w:val="28"/>
              </w:rPr>
              <w:t>分，未提供的本项不得分。</w:t>
            </w:r>
          </w:p>
          <w:p w14:paraId="4537733C">
            <w:pPr>
              <w:pStyle w:val="26"/>
              <w:jc w:val="left"/>
              <w:rPr>
                <w:sz w:val="28"/>
                <w:szCs w:val="28"/>
              </w:rPr>
            </w:pPr>
          </w:p>
        </w:tc>
      </w:tr>
    </w:tbl>
    <w:p w14:paraId="01DED513">
      <w:pPr>
        <w:numPr>
          <w:ilvl w:val="0"/>
          <w:numId w:val="0"/>
        </w:numPr>
        <w:ind w:leftChars="0"/>
        <w:rPr>
          <w:rFonts w:hint="eastAsia" w:cs="Arial"/>
          <w:color w:val="000000"/>
          <w:sz w:val="20"/>
          <w:szCs w:val="20"/>
        </w:rPr>
      </w:pPr>
    </w:p>
    <w:p w14:paraId="5323AA74">
      <w:pPr>
        <w:jc w:val="center"/>
        <w:rPr>
          <w:rFonts w:hint="eastAsia"/>
          <w:b/>
          <w:sz w:val="32"/>
          <w:szCs w:val="32"/>
        </w:rPr>
      </w:pPr>
    </w:p>
    <w:p w14:paraId="3E051E01">
      <w:pPr>
        <w:jc w:val="center"/>
        <w:rPr>
          <w:rFonts w:hint="eastAsia"/>
          <w:b/>
          <w:sz w:val="32"/>
          <w:szCs w:val="32"/>
        </w:rPr>
      </w:pPr>
    </w:p>
    <w:p w14:paraId="73A36266">
      <w:pPr>
        <w:pStyle w:val="11"/>
        <w:spacing w:before="75" w:beforeAutospacing="0" w:after="75" w:afterAutospacing="0"/>
        <w:jc w:val="center"/>
        <w:rPr>
          <w:rStyle w:val="14"/>
          <w:rFonts w:hint="eastAsia"/>
          <w:bCs w:val="0"/>
          <w:sz w:val="31"/>
          <w:szCs w:val="31"/>
        </w:rPr>
      </w:pPr>
    </w:p>
    <w:p w14:paraId="4E10EEC1">
      <w:pPr>
        <w:pStyle w:val="11"/>
        <w:spacing w:before="75" w:beforeAutospacing="0" w:after="75" w:afterAutospacing="0"/>
        <w:jc w:val="center"/>
        <w:rPr>
          <w:rStyle w:val="14"/>
          <w:rFonts w:hint="eastAsia"/>
          <w:bCs w:val="0"/>
          <w:sz w:val="31"/>
          <w:szCs w:val="31"/>
        </w:rPr>
      </w:pPr>
    </w:p>
    <w:p w14:paraId="0C10344F">
      <w:pPr>
        <w:pStyle w:val="11"/>
        <w:spacing w:before="75" w:beforeAutospacing="0" w:after="75" w:afterAutospacing="0"/>
        <w:jc w:val="center"/>
        <w:rPr>
          <w:rStyle w:val="14"/>
          <w:rFonts w:hint="eastAsia"/>
          <w:bCs w:val="0"/>
          <w:sz w:val="31"/>
          <w:szCs w:val="31"/>
        </w:rPr>
      </w:pPr>
    </w:p>
    <w:p w14:paraId="5CD3FB6F">
      <w:pPr>
        <w:pStyle w:val="11"/>
        <w:spacing w:before="75" w:beforeAutospacing="0" w:after="75" w:afterAutospacing="0"/>
        <w:jc w:val="center"/>
        <w:rPr>
          <w:rStyle w:val="14"/>
          <w:rFonts w:hint="eastAsia"/>
          <w:bCs w:val="0"/>
          <w:sz w:val="31"/>
          <w:szCs w:val="31"/>
        </w:rPr>
      </w:pPr>
    </w:p>
    <w:p w14:paraId="77ACCABB">
      <w:pPr>
        <w:pStyle w:val="11"/>
        <w:numPr>
          <w:ilvl w:val="0"/>
          <w:numId w:val="3"/>
        </w:numPr>
        <w:spacing w:before="75" w:beforeAutospacing="0" w:after="75" w:afterAutospacing="0"/>
        <w:ind w:left="0" w:leftChars="0" w:firstLine="0" w:firstLineChars="0"/>
        <w:jc w:val="left"/>
        <w:rPr>
          <w:rStyle w:val="14"/>
          <w:rFonts w:hint="eastAsia"/>
          <w:bCs w:val="0"/>
          <w:sz w:val="31"/>
          <w:szCs w:val="31"/>
        </w:rPr>
      </w:pPr>
      <w:r>
        <w:rPr>
          <w:rStyle w:val="14"/>
          <w:rFonts w:hint="eastAsia"/>
          <w:bCs w:val="0"/>
          <w:sz w:val="31"/>
          <w:szCs w:val="31"/>
        </w:rPr>
        <w:t>招标内容及要求</w:t>
      </w:r>
    </w:p>
    <w:p w14:paraId="2DE34E6E">
      <w:pPr>
        <w:pStyle w:val="11"/>
        <w:numPr>
          <w:ilvl w:val="0"/>
          <w:numId w:val="0"/>
        </w:numPr>
        <w:spacing w:before="75" w:beforeAutospacing="0" w:after="75" w:afterAutospacing="0"/>
        <w:ind w:leftChars="0"/>
        <w:jc w:val="left"/>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、项目概况</w:t>
      </w:r>
    </w:p>
    <w:p w14:paraId="3D6AFF11">
      <w:pPr>
        <w:pStyle w:val="11"/>
        <w:spacing w:before="75" w:beforeAutospacing="0" w:after="75" w:afterAutospacing="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Hans"/>
        </w:rPr>
        <w:t>、</w:t>
      </w:r>
      <w:r>
        <w:rPr>
          <w:rFonts w:hint="eastAsia" w:ascii="宋体" w:hAnsi="宋体" w:eastAsia="宋体" w:cs="宋体"/>
          <w:sz w:val="28"/>
          <w:szCs w:val="28"/>
          <w:lang w:val="en-US" w:eastAsia="zh-CN"/>
        </w:rPr>
        <w:t>本次采购为</w:t>
      </w:r>
      <w:r>
        <w:rPr>
          <w:rFonts w:hint="eastAsia" w:ascii="宋体" w:hAnsi="宋体" w:eastAsia="宋体" w:cs="宋体"/>
          <w:sz w:val="28"/>
          <w:szCs w:val="28"/>
          <w:lang w:val="en-US" w:eastAsia="zh-Hans"/>
        </w:rPr>
        <w:t>内河驳岸边防护栏杆</w:t>
      </w:r>
      <w:r>
        <w:rPr>
          <w:rFonts w:hint="eastAsia" w:ascii="宋体" w:hAnsi="宋体" w:eastAsia="宋体" w:cs="宋体"/>
          <w:sz w:val="28"/>
          <w:szCs w:val="28"/>
          <w:lang w:val="en-US" w:eastAsia="zh-CN"/>
        </w:rPr>
        <w:t>项目。</w:t>
      </w:r>
    </w:p>
    <w:p w14:paraId="32C57F54">
      <w:pPr>
        <w:pStyle w:val="11"/>
        <w:spacing w:before="0" w:beforeAutospacing="0" w:after="150" w:afterAutospacing="0" w:line="300" w:lineRule="atLeast"/>
        <w:ind w:firstLine="48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2、项目工程量清单内采用固定单价合同，工程量按实结算。</w:t>
      </w:r>
    </w:p>
    <w:p w14:paraId="1E1A44F5">
      <w:pPr>
        <w:pStyle w:val="11"/>
        <w:spacing w:before="0" w:beforeAutospacing="0" w:after="150" w:afterAutospacing="0" w:line="465" w:lineRule="atLeast"/>
        <w:ind w:firstLine="48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3、本项目成交金额作为合同签订价，工程施工完毕后，实际结算价以审核后确定的价格支付。</w:t>
      </w:r>
    </w:p>
    <w:p w14:paraId="06F2F219">
      <w:pPr>
        <w:pStyle w:val="11"/>
        <w:spacing w:before="0" w:beforeAutospacing="0" w:after="150" w:afterAutospacing="0"/>
        <w:ind w:firstLine="560" w:firstLineChars="20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4、除非合同中另有规定，供应商的报价均己包括了为实施和完成合同所需的劳务、材料、运输、安装（含所需辅材）、调试、维修、服务、保险、利润、税费、市场变化以及合同明示的所有责任、义务和风险等一切费用，验收、技术服务、相关文件的提交、质保期免费保修、维护、招标服务费等一切费用。</w:t>
      </w:r>
    </w:p>
    <w:p w14:paraId="1C4826C9">
      <w:pPr>
        <w:pStyle w:val="11"/>
        <w:spacing w:before="75" w:beforeAutospacing="0" w:after="75" w:afterAutospacing="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、技术要求</w:t>
      </w:r>
      <w:r>
        <w:rPr>
          <w:rStyle w:val="14"/>
          <w:rFonts w:hint="eastAsia"/>
          <w:bCs w:val="0"/>
        </w:rPr>
        <w:t>（以“★”标示的内容为不允许负偏离的实质性要求）</w:t>
      </w:r>
    </w:p>
    <w:p w14:paraId="2862160B">
      <w:pPr>
        <w:pStyle w:val="26"/>
        <w:jc w:val="left"/>
        <w:rPr>
          <w:rFonts w:hint="eastAsia" w:ascii="宋体" w:hAnsi="宋体" w:eastAsia="宋体" w:cs="宋体"/>
          <w:b/>
          <w:sz w:val="28"/>
          <w:szCs w:val="28"/>
          <w:lang w:eastAsia="zh-CN"/>
        </w:rPr>
      </w:pPr>
    </w:p>
    <w:p w14:paraId="719F3790">
      <w:pPr>
        <w:pStyle w:val="26"/>
        <w:jc w:val="left"/>
        <w:rPr>
          <w:rFonts w:hint="eastAsia" w:ascii="宋体" w:hAnsi="宋体" w:eastAsia="宋体" w:cs="宋体"/>
          <w:sz w:val="28"/>
          <w:szCs w:val="28"/>
          <w:lang w:eastAsia="zh-CN"/>
        </w:rPr>
      </w:pPr>
      <w:r>
        <w:rPr>
          <w:rFonts w:hint="eastAsia" w:ascii="宋体" w:hAnsi="宋体" w:eastAsia="宋体" w:cs="宋体"/>
          <w:b/>
          <w:sz w:val="28"/>
          <w:szCs w:val="28"/>
        </w:rPr>
        <w:t>★</w:t>
      </w:r>
      <w:r>
        <w:rPr>
          <w:rFonts w:hint="eastAsia" w:ascii="宋体" w:hAnsi="宋体" w:eastAsia="宋体" w:cs="宋体"/>
          <w:b/>
          <w:sz w:val="28"/>
          <w:szCs w:val="28"/>
          <w:lang w:val="en-US" w:eastAsia="zh-CN"/>
        </w:rPr>
        <w:t>1</w:t>
      </w:r>
      <w:r>
        <w:rPr>
          <w:rFonts w:hint="eastAsia" w:ascii="宋体" w:hAnsi="宋体" w:eastAsia="宋体" w:cs="宋体"/>
          <w:b/>
          <w:sz w:val="28"/>
          <w:szCs w:val="28"/>
        </w:rPr>
        <w:t>、质量</w:t>
      </w:r>
      <w:r>
        <w:rPr>
          <w:rFonts w:hint="eastAsia" w:ascii="宋体" w:hAnsi="宋体" w:eastAsia="宋体" w:cs="宋体"/>
          <w:b/>
          <w:sz w:val="28"/>
          <w:szCs w:val="28"/>
          <w:lang w:eastAsia="zh-CN"/>
        </w:rPr>
        <w:t>要求</w:t>
      </w:r>
    </w:p>
    <w:p w14:paraId="6BBA1328">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.1本工程必须根据《工程施工质量验收规范》</w:t>
      </w:r>
      <w:r>
        <w:rPr>
          <w:rFonts w:hint="eastAsia" w:ascii="宋体" w:hAnsi="宋体" w:eastAsia="宋体" w:cs="宋体"/>
          <w:sz w:val="28"/>
          <w:szCs w:val="28"/>
          <w:lang w:eastAsia="zh-CN"/>
        </w:rPr>
        <w:t>和</w:t>
      </w:r>
      <w:r>
        <w:rPr>
          <w:rFonts w:hint="eastAsia" w:ascii="宋体" w:hAnsi="宋体" w:eastAsia="宋体" w:cs="宋体"/>
          <w:sz w:val="28"/>
          <w:szCs w:val="28"/>
        </w:rPr>
        <w:t>《建筑装饰装修工程质量验收规范》（GB50210—2018）等质量标准</w:t>
      </w:r>
      <w:r>
        <w:rPr>
          <w:rFonts w:hint="eastAsia" w:ascii="宋体" w:hAnsi="宋体" w:eastAsia="宋体" w:cs="宋体"/>
          <w:sz w:val="28"/>
          <w:szCs w:val="28"/>
          <w:lang w:eastAsia="zh-CN"/>
        </w:rPr>
        <w:t>和</w:t>
      </w:r>
      <w:r>
        <w:rPr>
          <w:rFonts w:hint="eastAsia" w:ascii="宋体" w:hAnsi="宋体" w:eastAsia="宋体" w:cs="宋体"/>
          <w:sz w:val="28"/>
          <w:szCs w:val="28"/>
        </w:rPr>
        <w:t>规范及施工图纸进行施工。工程质量标准必须达到国家现行的验评标准中规定的合格等级。</w:t>
      </w:r>
    </w:p>
    <w:p w14:paraId="0FB57ED8">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因施工方原因工程质量达不到规定的质量等级，施工方必须按合同约定承担违约金并承担建设单位由此产生的其他损失，并在招标方要求的时间内无条件返修，质量验收合格后方交付使用。</w:t>
      </w:r>
    </w:p>
    <w:p w14:paraId="49AA3F83">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施工方应遵守工程建设安全生产有关管理规定，严格按安全标准组织施工，并随时接受行业安全检查人员依法实施的监督检查，采取必要的安全防护措施，消除事故隐患。由于施工方安全措施不力造成事故的责任和因此发生的费用，由施工方承担。</w:t>
      </w:r>
    </w:p>
    <w:p w14:paraId="3AB99786">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施工方应提供良好的</w:t>
      </w:r>
      <w:r>
        <w:rPr>
          <w:rFonts w:hint="eastAsia" w:ascii="宋体" w:hAnsi="宋体" w:eastAsia="宋体" w:cs="宋体"/>
          <w:sz w:val="28"/>
          <w:szCs w:val="28"/>
          <w:lang w:eastAsia="zh-CN"/>
        </w:rPr>
        <w:t>施工技术措施</w:t>
      </w:r>
      <w:r>
        <w:rPr>
          <w:rFonts w:hint="eastAsia" w:ascii="宋体" w:hAnsi="宋体" w:eastAsia="宋体" w:cs="宋体"/>
          <w:sz w:val="28"/>
          <w:szCs w:val="28"/>
        </w:rPr>
        <w:t>，在施工的各个阶段应事先安排好各项具体工作及招标方需要配合的工作。</w:t>
      </w:r>
    </w:p>
    <w:p w14:paraId="53E9754A">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工程完成后，施工方申报验收前要提供完整、准确的竣工图纸、有关资料及相应数据文件。</w:t>
      </w:r>
    </w:p>
    <w:p w14:paraId="3410376F">
      <w:pPr>
        <w:pStyle w:val="26"/>
        <w:ind w:firstLine="480"/>
        <w:jc w:val="left"/>
        <w:rPr>
          <w:rFonts w:hint="eastAsia" w:ascii="宋体" w:hAnsi="宋体" w:eastAsia="宋体" w:cs="宋体"/>
          <w:b/>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经招标方检查认为质量不合格时，施工方应按业主要求进行整修和返工，由此引起的工程延误和费用中标方自负。整改完毕再次会同验收，验收达到招标方满意，验收结果经双方确认签字、加盖各自单位的公章，验收过程费用由中标方承担。</w:t>
      </w:r>
    </w:p>
    <w:p w14:paraId="4CE12331">
      <w:pPr>
        <w:pStyle w:val="26"/>
        <w:ind w:firstLine="482"/>
        <w:jc w:val="left"/>
        <w:rPr>
          <w:rFonts w:hint="eastAsia" w:ascii="宋体" w:hAnsi="宋体" w:eastAsia="宋体" w:cs="宋体"/>
          <w:sz w:val="28"/>
          <w:szCs w:val="28"/>
        </w:rPr>
      </w:pPr>
      <w:r>
        <w:rPr>
          <w:rFonts w:hint="eastAsia" w:ascii="宋体" w:hAnsi="宋体" w:eastAsia="宋体" w:cs="宋体"/>
          <w:b/>
          <w:sz w:val="28"/>
          <w:szCs w:val="28"/>
        </w:rPr>
        <w:t>2、施工要求</w:t>
      </w:r>
    </w:p>
    <w:p w14:paraId="56D00090">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2.1施工方必须精心做好各项施工前的准备工作。施工方必须严格执行</w:t>
      </w:r>
      <w:r>
        <w:rPr>
          <w:rFonts w:hint="eastAsia" w:ascii="宋体" w:hAnsi="宋体" w:eastAsia="宋体" w:cs="宋体"/>
          <w:sz w:val="28"/>
          <w:szCs w:val="28"/>
          <w:lang w:eastAsia="zh-CN"/>
        </w:rPr>
        <w:t>招投标文件及相关</w:t>
      </w:r>
      <w:r>
        <w:rPr>
          <w:rFonts w:hint="eastAsia" w:ascii="宋体" w:hAnsi="宋体" w:eastAsia="宋体" w:cs="宋体"/>
          <w:sz w:val="28"/>
          <w:szCs w:val="28"/>
        </w:rPr>
        <w:t>施工工艺规范及规定。</w:t>
      </w:r>
      <w:r>
        <w:rPr>
          <w:rFonts w:hint="eastAsia" w:ascii="宋体" w:hAnsi="宋体" w:eastAsia="宋体" w:cs="宋体"/>
          <w:b/>
          <w:bCs/>
          <w:sz w:val="28"/>
          <w:szCs w:val="28"/>
        </w:rPr>
        <w:t>（偏离项1）</w:t>
      </w:r>
    </w:p>
    <w:p w14:paraId="0A9204B7">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2.2施工方自行承担与成交项目有关的安全责任。施工过程中，若出现安全事故，依据相关法律法规的规定施工方需暂停施工，由此对工期造成延误，施工方应承担相关的违约责任。</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w:t>
      </w:r>
    </w:p>
    <w:p w14:paraId="48F69A4C">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2.3施工方必须服从招标方的所有工程管理的规定。施工方必须严格按图施工，遇有变更时需经招标方书面同意后方可施工，变更部分的工程造价根据成交项目预算作相应增减。因施工方原因导致工程造价提高，施工方需承担工程造价增加部分的费用。</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w:t>
      </w:r>
    </w:p>
    <w:p w14:paraId="6B4FABC8">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2.4施工方必须在保证</w:t>
      </w:r>
      <w:r>
        <w:rPr>
          <w:rFonts w:hint="eastAsia" w:ascii="宋体" w:hAnsi="宋体" w:eastAsia="宋体" w:cs="宋体"/>
          <w:sz w:val="28"/>
          <w:szCs w:val="28"/>
          <w:lang w:eastAsia="zh-CN"/>
        </w:rPr>
        <w:t>施工质量、安全及</w:t>
      </w:r>
      <w:r>
        <w:rPr>
          <w:rFonts w:hint="eastAsia" w:ascii="宋体" w:hAnsi="宋体" w:eastAsia="宋体" w:cs="宋体"/>
          <w:sz w:val="28"/>
          <w:szCs w:val="28"/>
        </w:rPr>
        <w:t>工期的前提下合理安排施工设施。施工方进入工地必须保证工地四邻建筑物的安全。由施工引起的工地四邻建筑物受到影响由施工方负责。</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p>
    <w:p w14:paraId="584334F8">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2.5本工程安全文明施工必须达到合格工程要求。施工方应遵守国家《建设工程安全生产管理条例》（国务院令第393号）以及政府有关工程建设安全生产管理规定，严格按安全标准组织施工，并随时接受行业安全检查人员依法实施的监督检查，采取必要的安全防护措施，消除事故隐患。由于施工方安全措施不力造成事故的责任和因此发生的费用，由施工方承担。</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w:t>
      </w:r>
    </w:p>
    <w:p w14:paraId="2F03D73A">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2.6发生伤亡及其他安全事故，施工方应按有关规定立即上报有关部门并通知招标方，同时按政府有关部门要求处理，由事故责任方承担发生的费用。</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w:t>
      </w:r>
    </w:p>
    <w:p w14:paraId="4D81F6BB">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2.7施工方负责安排好临时设施的规划和临时设施的搭设，负责对施工及生活临时水电、排水排污的规划及管理。对施工区、生活区、材料堆场、材料加工场进行合理的规划，要求悬挂各类警示、标示牌，必须做到标示明显整齐。所有临时设施必须达到环保部门要求、建管部门制订的强制性行业标准。</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w:t>
      </w:r>
    </w:p>
    <w:p w14:paraId="6D678729">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2.8必须做到文明施工。各种材料必须在指定的地方堆放；车辆进出所带来的泥土施工方须及时清理。施工方在施工过程中有任何异议问题，均按招标方的要求施工。</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w:t>
      </w:r>
    </w:p>
    <w:p w14:paraId="1F0940E3">
      <w:pPr>
        <w:pStyle w:val="26"/>
        <w:ind w:firstLine="482"/>
        <w:jc w:val="left"/>
        <w:rPr>
          <w:rFonts w:hint="eastAsia" w:ascii="宋体" w:hAnsi="宋体" w:eastAsia="宋体" w:cs="宋体"/>
          <w:sz w:val="28"/>
          <w:szCs w:val="28"/>
        </w:rPr>
      </w:pPr>
      <w:r>
        <w:rPr>
          <w:rFonts w:hint="eastAsia" w:ascii="宋体" w:hAnsi="宋体" w:eastAsia="宋体" w:cs="宋体"/>
          <w:b/>
          <w:sz w:val="28"/>
          <w:szCs w:val="28"/>
        </w:rPr>
        <w:t>3、施工现场管理要求</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w:t>
      </w:r>
    </w:p>
    <w:p w14:paraId="157E2934">
      <w:pPr>
        <w:pStyle w:val="26"/>
        <w:ind w:firstLine="480"/>
        <w:jc w:val="left"/>
        <w:rPr>
          <w:rFonts w:hint="eastAsia" w:ascii="宋体" w:hAnsi="宋体" w:eastAsia="宋体" w:cs="宋体"/>
          <w:sz w:val="28"/>
          <w:szCs w:val="28"/>
        </w:rPr>
      </w:pPr>
      <w:r>
        <w:rPr>
          <w:rFonts w:hint="eastAsia" w:ascii="宋体" w:hAnsi="宋体" w:eastAsia="宋体" w:cs="宋体"/>
          <w:sz w:val="28"/>
          <w:szCs w:val="28"/>
        </w:rPr>
        <w:t>3.1现场安全防护设施要求，达到有关规定文明安全施工要求。</w:t>
      </w:r>
    </w:p>
    <w:p w14:paraId="25CF0FEE">
      <w:pPr>
        <w:pStyle w:val="26"/>
        <w:ind w:firstLine="480"/>
        <w:jc w:val="left"/>
        <w:rPr>
          <w:rFonts w:hint="eastAsia" w:ascii="宋体" w:hAnsi="宋体" w:eastAsia="宋体" w:cs="宋体"/>
          <w:sz w:val="28"/>
          <w:szCs w:val="28"/>
        </w:rPr>
      </w:pPr>
      <w:r>
        <w:rPr>
          <w:rFonts w:hint="eastAsia" w:ascii="宋体" w:hAnsi="宋体" w:eastAsia="宋体" w:cs="宋体"/>
          <w:sz w:val="28"/>
          <w:szCs w:val="28"/>
        </w:rPr>
        <w:t>施工方应按安全施工管理有关规定，配备安全管理机构，配备合格的专职安全管理人员，负责处理全体工作人员和劳务人员的安全保护和防止事故等问题。</w:t>
      </w:r>
    </w:p>
    <w:p w14:paraId="159B0B3D">
      <w:pPr>
        <w:pStyle w:val="26"/>
        <w:ind w:firstLine="480"/>
        <w:jc w:val="left"/>
        <w:rPr>
          <w:rFonts w:hint="eastAsia" w:ascii="宋体" w:hAnsi="宋体" w:eastAsia="宋体" w:cs="宋体"/>
          <w:sz w:val="28"/>
          <w:szCs w:val="28"/>
        </w:rPr>
      </w:pPr>
      <w:r>
        <w:rPr>
          <w:rFonts w:hint="eastAsia" w:ascii="宋体" w:hAnsi="宋体" w:eastAsia="宋体" w:cs="宋体"/>
          <w:sz w:val="28"/>
          <w:szCs w:val="28"/>
        </w:rPr>
        <w:t>3.2施工方应采取合理的施工组织及安全措施，严格现场管理制度，加大安全设施投入以确保施工安全，若因施工组织不合理、安全措施不合理、安全管理不到位、安全设施投入不足引起的一切后果，由投标人自行承担。施工方应加强安全管理，采取有效的安全措施，以确保第三者人身安全不受到伤害，若因施工方安全管理不到位、安全措施不合理等引起的一切后果，由施工方自行承担。同时，施工方应保障招标方免于承担由此可能引起的索赔、诉讼和其他一切费用等。</w:t>
      </w:r>
    </w:p>
    <w:p w14:paraId="71848EBD">
      <w:pPr>
        <w:pStyle w:val="26"/>
        <w:ind w:firstLine="480"/>
        <w:jc w:val="left"/>
        <w:rPr>
          <w:rFonts w:hint="eastAsia" w:ascii="宋体" w:hAnsi="宋体" w:eastAsia="宋体" w:cs="宋体"/>
          <w:sz w:val="28"/>
          <w:szCs w:val="28"/>
        </w:rPr>
      </w:pPr>
      <w:r>
        <w:rPr>
          <w:rFonts w:hint="eastAsia" w:ascii="宋体" w:hAnsi="宋体" w:eastAsia="宋体" w:cs="宋体"/>
          <w:sz w:val="28"/>
          <w:szCs w:val="28"/>
        </w:rPr>
        <w:t>3.3环境要求</w:t>
      </w:r>
    </w:p>
    <w:p w14:paraId="67973FAD">
      <w:pPr>
        <w:pStyle w:val="26"/>
        <w:ind w:firstLine="480"/>
        <w:jc w:val="left"/>
        <w:rPr>
          <w:rFonts w:hint="eastAsia" w:ascii="宋体" w:hAnsi="宋体" w:eastAsia="宋体" w:cs="宋体"/>
          <w:sz w:val="28"/>
          <w:szCs w:val="28"/>
        </w:rPr>
      </w:pPr>
      <w:r>
        <w:rPr>
          <w:rFonts w:hint="eastAsia" w:ascii="宋体" w:hAnsi="宋体" w:eastAsia="宋体" w:cs="宋体"/>
          <w:sz w:val="28"/>
          <w:szCs w:val="28"/>
        </w:rPr>
        <w:t>按现行国家环保文件有关规定执行，施工方有责任采取有效措施以预防和消除因施工造成的环境污染，施工方应通过有效的技术手段和管理措施将施工噪音控制到最低程度。临时设施修建应经招标方认可，建筑垃圾不得随意倾倒在临近的区域</w:t>
      </w:r>
      <w:r>
        <w:rPr>
          <w:rFonts w:hint="eastAsia" w:ascii="宋体" w:hAnsi="宋体" w:eastAsia="宋体" w:cs="宋体"/>
          <w:sz w:val="28"/>
          <w:szCs w:val="28"/>
          <w:lang w:eastAsia="zh-CN"/>
        </w:rPr>
        <w:t>。上班期间和</w:t>
      </w:r>
      <w:r>
        <w:rPr>
          <w:rFonts w:hint="eastAsia" w:ascii="宋体" w:hAnsi="宋体" w:eastAsia="宋体" w:cs="宋体"/>
          <w:sz w:val="28"/>
          <w:szCs w:val="28"/>
        </w:rPr>
        <w:t>夜间应尽量减少噪音对周边的影响，相关费用视为已包含在磋商报价中。</w:t>
      </w:r>
    </w:p>
    <w:p w14:paraId="20A44034">
      <w:pPr>
        <w:pStyle w:val="26"/>
        <w:ind w:firstLine="480"/>
        <w:jc w:val="left"/>
        <w:rPr>
          <w:rFonts w:hint="eastAsia" w:ascii="宋体" w:hAnsi="宋体" w:eastAsia="宋体" w:cs="宋体"/>
          <w:sz w:val="28"/>
          <w:szCs w:val="28"/>
        </w:rPr>
      </w:pPr>
      <w:r>
        <w:rPr>
          <w:rFonts w:hint="eastAsia" w:ascii="宋体" w:hAnsi="宋体" w:eastAsia="宋体" w:cs="宋体"/>
          <w:sz w:val="28"/>
          <w:szCs w:val="28"/>
        </w:rPr>
        <w:t>3.4文明施工要求</w:t>
      </w:r>
    </w:p>
    <w:p w14:paraId="74A8B3B8">
      <w:pPr>
        <w:pStyle w:val="26"/>
        <w:ind w:firstLine="480"/>
        <w:jc w:val="left"/>
        <w:rPr>
          <w:rFonts w:hint="eastAsia" w:ascii="宋体" w:hAnsi="宋体" w:eastAsia="宋体" w:cs="宋体"/>
          <w:sz w:val="28"/>
          <w:szCs w:val="28"/>
        </w:rPr>
      </w:pPr>
      <w:r>
        <w:rPr>
          <w:rFonts w:hint="eastAsia" w:ascii="宋体" w:hAnsi="宋体" w:eastAsia="宋体" w:cs="宋体"/>
          <w:sz w:val="28"/>
          <w:szCs w:val="28"/>
        </w:rPr>
        <w:t>按合同相关条款规定及有关安全生产、文明施工和城市管理的规定执行。施工机具进场要求，按进度计划进场。</w:t>
      </w:r>
    </w:p>
    <w:p w14:paraId="13580F39">
      <w:pPr>
        <w:pStyle w:val="26"/>
        <w:ind w:firstLine="482"/>
        <w:jc w:val="left"/>
        <w:rPr>
          <w:rFonts w:hint="eastAsia" w:ascii="宋体" w:hAnsi="宋体" w:eastAsia="宋体" w:cs="宋体"/>
          <w:sz w:val="28"/>
          <w:szCs w:val="28"/>
        </w:rPr>
      </w:pPr>
      <w:r>
        <w:rPr>
          <w:rFonts w:hint="eastAsia" w:ascii="宋体" w:hAnsi="宋体" w:eastAsia="宋体" w:cs="宋体"/>
          <w:b/>
          <w:sz w:val="28"/>
          <w:szCs w:val="28"/>
        </w:rPr>
        <w:t>4、材料设备供应</w:t>
      </w:r>
    </w:p>
    <w:p w14:paraId="585BEC75">
      <w:pPr>
        <w:pStyle w:val="26"/>
        <w:ind w:firstLine="480"/>
        <w:jc w:val="left"/>
        <w:rPr>
          <w:rFonts w:hint="eastAsia" w:ascii="宋体" w:hAnsi="宋体" w:eastAsia="宋体" w:cs="宋体"/>
          <w:sz w:val="28"/>
          <w:szCs w:val="28"/>
        </w:rPr>
      </w:pPr>
      <w:r>
        <w:rPr>
          <w:rFonts w:hint="eastAsia" w:ascii="宋体" w:hAnsi="宋体" w:eastAsia="宋体" w:cs="宋体"/>
          <w:sz w:val="28"/>
          <w:szCs w:val="28"/>
        </w:rPr>
        <w:t>4.1施工方自购的用于本工程的材料设备必须是合格产品且符合规范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保证所选材料或设备的品质（如技术标准和质量等级等）相当于或不低于甲方控制价编制的参考产品要求</w:t>
      </w:r>
      <w:r>
        <w:rPr>
          <w:rFonts w:hint="eastAsia" w:ascii="宋体" w:hAnsi="宋体" w:eastAsia="宋体" w:cs="宋体"/>
          <w:sz w:val="28"/>
          <w:szCs w:val="28"/>
          <w:lang w:eastAsia="zh-CN"/>
        </w:rPr>
        <w:t>。</w:t>
      </w:r>
      <w:r>
        <w:rPr>
          <w:rFonts w:hint="eastAsia" w:ascii="宋体" w:hAnsi="宋体" w:eastAsia="宋体" w:cs="宋体"/>
          <w:sz w:val="28"/>
          <w:szCs w:val="28"/>
        </w:rPr>
        <w:t>在材料设备进场前应经招标方现场人员签字确认，否则招标方有权拒绝进场。当施工方选定的材料质量达不到预期质量目标要求时，招标方保留更换的权利。若使用劣质材料施工，一经发现，招标方有权制止使用，直至停工、返工或终止合同。无论招标方是否发现和制止，由于使用劣质材料施工所引起的一切责任及所发生的费用经</w:t>
      </w:r>
      <w:r>
        <w:rPr>
          <w:rFonts w:hint="eastAsia" w:ascii="宋体" w:hAnsi="宋体" w:eastAsia="宋体" w:cs="宋体"/>
          <w:sz w:val="28"/>
          <w:szCs w:val="28"/>
          <w:lang w:eastAsia="zh-CN"/>
        </w:rPr>
        <w:t>招标方</w:t>
      </w:r>
      <w:r>
        <w:rPr>
          <w:rFonts w:hint="eastAsia" w:ascii="宋体" w:hAnsi="宋体" w:eastAsia="宋体" w:cs="宋体"/>
          <w:sz w:val="28"/>
          <w:szCs w:val="28"/>
        </w:rPr>
        <w:t>确认后，均由施工方自负。</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w:t>
      </w:r>
    </w:p>
    <w:p w14:paraId="61757249">
      <w:pPr>
        <w:pStyle w:val="26"/>
        <w:ind w:firstLine="480"/>
        <w:jc w:val="left"/>
        <w:rPr>
          <w:rFonts w:hint="eastAsia" w:ascii="宋体" w:hAnsi="宋体" w:eastAsia="宋体" w:cs="宋体"/>
          <w:sz w:val="28"/>
          <w:szCs w:val="28"/>
        </w:rPr>
      </w:pPr>
      <w:r>
        <w:rPr>
          <w:rFonts w:hint="eastAsia" w:ascii="宋体" w:hAnsi="宋体" w:eastAsia="宋体" w:cs="宋体"/>
          <w:sz w:val="28"/>
          <w:szCs w:val="28"/>
        </w:rPr>
        <w:t>4.2进场的所有产品必须是优质、全新、未用、配套齐全、无损的，且主要技术参数符合</w:t>
      </w:r>
      <w:r>
        <w:rPr>
          <w:rFonts w:hint="eastAsia" w:ascii="宋体" w:hAnsi="宋体" w:eastAsia="宋体" w:cs="宋体"/>
          <w:sz w:val="28"/>
          <w:szCs w:val="28"/>
          <w:lang w:eastAsia="zh-CN"/>
        </w:rPr>
        <w:t>设计</w:t>
      </w:r>
      <w:r>
        <w:rPr>
          <w:rFonts w:hint="eastAsia" w:ascii="宋体" w:hAnsi="宋体" w:eastAsia="宋体" w:cs="宋体"/>
          <w:sz w:val="28"/>
          <w:szCs w:val="28"/>
        </w:rPr>
        <w:t>要求</w:t>
      </w:r>
      <w:r>
        <w:rPr>
          <w:rFonts w:hint="eastAsia" w:ascii="宋体" w:hAnsi="宋体" w:eastAsia="宋体" w:cs="宋体"/>
          <w:sz w:val="28"/>
          <w:szCs w:val="28"/>
          <w:lang w:eastAsia="zh-CN"/>
        </w:rPr>
        <w:t>、招投标文件要求和甲方需求</w:t>
      </w:r>
      <w:r>
        <w:rPr>
          <w:rFonts w:hint="eastAsia" w:ascii="宋体" w:hAnsi="宋体" w:eastAsia="宋体" w:cs="宋体"/>
          <w:sz w:val="28"/>
          <w:szCs w:val="28"/>
        </w:rPr>
        <w:t>。经采购方人员检验其颜色、技术规格、质量和数量，签字认可后方可施工，检验不合格的，施工方应予无条件调换。</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11</w:t>
      </w:r>
      <w:r>
        <w:rPr>
          <w:rFonts w:hint="eastAsia" w:ascii="宋体" w:hAnsi="宋体" w:eastAsia="宋体" w:cs="宋体"/>
          <w:b/>
          <w:bCs/>
          <w:sz w:val="28"/>
          <w:szCs w:val="28"/>
        </w:rPr>
        <w:t>）</w:t>
      </w:r>
    </w:p>
    <w:p w14:paraId="3A3C783A">
      <w:pPr>
        <w:pStyle w:val="26"/>
        <w:ind w:firstLine="482"/>
        <w:jc w:val="left"/>
        <w:rPr>
          <w:rFonts w:hint="eastAsia" w:ascii="宋体" w:hAnsi="宋体" w:eastAsia="宋体" w:cs="宋体"/>
          <w:sz w:val="28"/>
          <w:szCs w:val="28"/>
        </w:rPr>
      </w:pPr>
      <w:r>
        <w:rPr>
          <w:rFonts w:hint="eastAsia" w:ascii="宋体" w:hAnsi="宋体" w:eastAsia="宋体" w:cs="宋体"/>
          <w:b/>
          <w:sz w:val="28"/>
          <w:szCs w:val="28"/>
          <w:lang w:val="en-US" w:eastAsia="zh-CN"/>
        </w:rPr>
        <w:t>5</w:t>
      </w:r>
      <w:r>
        <w:rPr>
          <w:rFonts w:hint="eastAsia" w:ascii="宋体" w:hAnsi="宋体" w:eastAsia="宋体" w:cs="宋体"/>
          <w:b/>
          <w:sz w:val="28"/>
          <w:szCs w:val="28"/>
        </w:rPr>
        <w:t>、 对施工方主要施工管理人员要求</w:t>
      </w:r>
    </w:p>
    <w:p w14:paraId="4648C2BC">
      <w:pPr>
        <w:pStyle w:val="26"/>
        <w:ind w:firstLine="482"/>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.1</w:t>
      </w:r>
      <w:r>
        <w:rPr>
          <w:rFonts w:hint="eastAsia" w:ascii="宋体" w:hAnsi="宋体" w:eastAsia="宋体" w:cs="宋体"/>
          <w:sz w:val="28"/>
          <w:szCs w:val="28"/>
          <w:lang w:eastAsia="zh-CN"/>
        </w:rPr>
        <w:t>施工期间，</w:t>
      </w:r>
      <w:r>
        <w:rPr>
          <w:rFonts w:hint="eastAsia" w:ascii="宋体" w:hAnsi="宋体" w:eastAsia="宋体" w:cs="宋体"/>
          <w:sz w:val="28"/>
          <w:szCs w:val="28"/>
        </w:rPr>
        <w:t>中标施工方要求</w:t>
      </w:r>
      <w:r>
        <w:rPr>
          <w:rFonts w:hint="eastAsia" w:ascii="宋体" w:hAnsi="宋体" w:eastAsia="宋体" w:cs="宋体"/>
          <w:sz w:val="28"/>
          <w:szCs w:val="28"/>
          <w:lang w:eastAsia="zh-CN"/>
        </w:rPr>
        <w:t>现场管理人员</w:t>
      </w:r>
      <w:r>
        <w:rPr>
          <w:rFonts w:hint="eastAsia" w:ascii="宋体" w:hAnsi="宋体" w:eastAsia="宋体" w:cs="宋体"/>
          <w:sz w:val="28"/>
          <w:szCs w:val="28"/>
        </w:rPr>
        <w:t>或</w:t>
      </w:r>
      <w:r>
        <w:rPr>
          <w:rFonts w:hint="eastAsia" w:ascii="宋体" w:hAnsi="宋体" w:eastAsia="宋体" w:cs="宋体"/>
          <w:sz w:val="28"/>
          <w:szCs w:val="28"/>
          <w:lang w:eastAsia="zh-CN"/>
        </w:rPr>
        <w:t>安全员，每日均要到场巡查</w:t>
      </w:r>
      <w:r>
        <w:rPr>
          <w:rFonts w:hint="eastAsia" w:ascii="宋体" w:hAnsi="宋体" w:eastAsia="宋体" w:cs="宋体"/>
          <w:sz w:val="28"/>
          <w:szCs w:val="28"/>
        </w:rPr>
        <w:t>。</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12</w:t>
      </w:r>
      <w:r>
        <w:rPr>
          <w:rFonts w:hint="eastAsia" w:ascii="宋体" w:hAnsi="宋体" w:eastAsia="宋体" w:cs="宋体"/>
          <w:b/>
          <w:bCs/>
          <w:sz w:val="28"/>
          <w:szCs w:val="28"/>
        </w:rPr>
        <w:t>）</w:t>
      </w:r>
    </w:p>
    <w:p w14:paraId="3D75A932">
      <w:pPr>
        <w:pStyle w:val="26"/>
        <w:ind w:firstLine="482"/>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.2开工前，须提交项目管理机构及施工现场管理人员安排报告给招标人。</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13</w:t>
      </w:r>
      <w:r>
        <w:rPr>
          <w:rFonts w:hint="eastAsia" w:ascii="宋体" w:hAnsi="宋体" w:eastAsia="宋体" w:cs="宋体"/>
          <w:b/>
          <w:bCs/>
          <w:sz w:val="28"/>
          <w:szCs w:val="28"/>
        </w:rPr>
        <w:t>）</w:t>
      </w:r>
    </w:p>
    <w:p w14:paraId="2A89AB0F">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施工方擅自更换项目经理</w:t>
      </w:r>
      <w:r>
        <w:rPr>
          <w:rFonts w:hint="eastAsia" w:ascii="宋体" w:hAnsi="宋体" w:eastAsia="宋体" w:cs="宋体"/>
          <w:sz w:val="28"/>
          <w:szCs w:val="28"/>
          <w:lang w:eastAsia="zh-CN"/>
        </w:rPr>
        <w:t>或技术负责人</w:t>
      </w:r>
      <w:r>
        <w:rPr>
          <w:rFonts w:hint="eastAsia" w:ascii="宋体" w:hAnsi="宋体" w:eastAsia="宋体" w:cs="宋体"/>
          <w:sz w:val="28"/>
          <w:szCs w:val="28"/>
        </w:rPr>
        <w:t>的按每人次处</w:t>
      </w:r>
      <w:r>
        <w:rPr>
          <w:rFonts w:hint="eastAsia" w:ascii="宋体" w:hAnsi="宋体" w:eastAsia="宋体" w:cs="宋体"/>
          <w:sz w:val="28"/>
          <w:szCs w:val="28"/>
          <w:lang w:val="en-US" w:eastAsia="zh-CN"/>
        </w:rPr>
        <w:t>3000</w:t>
      </w:r>
      <w:r>
        <w:rPr>
          <w:rFonts w:hint="eastAsia" w:ascii="宋体" w:hAnsi="宋体" w:eastAsia="宋体" w:cs="宋体"/>
          <w:sz w:val="28"/>
          <w:szCs w:val="28"/>
        </w:rPr>
        <w:t>元人民币扣款。</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14</w:t>
      </w:r>
      <w:r>
        <w:rPr>
          <w:rFonts w:hint="eastAsia" w:ascii="宋体" w:hAnsi="宋体" w:eastAsia="宋体" w:cs="宋体"/>
          <w:b/>
          <w:bCs/>
          <w:sz w:val="28"/>
          <w:szCs w:val="28"/>
        </w:rPr>
        <w:t>）</w:t>
      </w:r>
    </w:p>
    <w:p w14:paraId="4FCBDA6C">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除项目经理或项目技术负责人外，施工方擅自更换主要施工管理人员的，每人每次支付违约金</w:t>
      </w:r>
      <w:r>
        <w:rPr>
          <w:rFonts w:hint="eastAsia" w:ascii="宋体" w:hAnsi="宋体" w:eastAsia="宋体" w:cs="宋体"/>
          <w:sz w:val="28"/>
          <w:szCs w:val="28"/>
          <w:lang w:val="en-US" w:eastAsia="zh-CN"/>
        </w:rPr>
        <w:t>10</w:t>
      </w:r>
      <w:r>
        <w:rPr>
          <w:rFonts w:hint="eastAsia" w:ascii="宋体" w:hAnsi="宋体" w:eastAsia="宋体" w:cs="宋体"/>
          <w:sz w:val="28"/>
          <w:szCs w:val="28"/>
        </w:rPr>
        <w:t>00元人民币。</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15</w:t>
      </w:r>
      <w:r>
        <w:rPr>
          <w:rFonts w:hint="eastAsia" w:ascii="宋体" w:hAnsi="宋体" w:eastAsia="宋体" w:cs="宋体"/>
          <w:b/>
          <w:bCs/>
          <w:sz w:val="28"/>
          <w:szCs w:val="28"/>
        </w:rPr>
        <w:t>）</w:t>
      </w:r>
    </w:p>
    <w:p w14:paraId="34818C0C">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、施工方承接的本项目工程结束后应在规定的交付使用时间之前将废物移离现场，清理妥当，费用由施工方负责。</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16</w:t>
      </w:r>
      <w:r>
        <w:rPr>
          <w:rFonts w:hint="eastAsia" w:ascii="宋体" w:hAnsi="宋体" w:eastAsia="宋体" w:cs="宋体"/>
          <w:b/>
          <w:bCs/>
          <w:sz w:val="28"/>
          <w:szCs w:val="28"/>
        </w:rPr>
        <w:t>）</w:t>
      </w:r>
    </w:p>
    <w:p w14:paraId="64D55FDB">
      <w:pPr>
        <w:pStyle w:val="26"/>
        <w:ind w:firstLine="560" w:firstLineChars="200"/>
        <w:jc w:val="left"/>
        <w:rPr>
          <w:rFonts w:hint="eastAsia" w:ascii="宋体" w:hAnsi="宋体" w:eastAsia="宋体" w:cs="宋体"/>
          <w:sz w:val="28"/>
          <w:szCs w:val="28"/>
        </w:rPr>
      </w:pPr>
    </w:p>
    <w:p w14:paraId="79639E57">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、本项目若有涉及需国家强制性资质方可施工的项目，中标人须委托具有符合国家规定相应资质的施工单位进行施工，并承担所有责任（包含但不限于安全、经济等责任）。</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17</w:t>
      </w:r>
      <w:r>
        <w:rPr>
          <w:rFonts w:hint="eastAsia" w:ascii="宋体" w:hAnsi="宋体" w:eastAsia="宋体" w:cs="宋体"/>
          <w:b/>
          <w:bCs/>
          <w:sz w:val="28"/>
          <w:szCs w:val="28"/>
        </w:rPr>
        <w:t>）</w:t>
      </w:r>
    </w:p>
    <w:p w14:paraId="308C2DE5">
      <w:pPr>
        <w:pStyle w:val="11"/>
        <w:spacing w:before="0" w:beforeAutospacing="0" w:after="150" w:afterAutospacing="0" w:line="300" w:lineRule="atLeast"/>
        <w:ind w:firstLine="560" w:firstLineChars="200"/>
        <w:rPr>
          <w:rFonts w:hint="eastAsia" w:ascii="宋体" w:hAnsi="宋体" w:eastAsia="宋体" w:cs="宋体"/>
          <w:b/>
          <w:bCs/>
          <w:sz w:val="28"/>
          <w:szCs w:val="28"/>
          <w:lang w:val="en-US" w:eastAsia="zh-Hans"/>
        </w:rPr>
      </w:pPr>
      <w:r>
        <w:rPr>
          <w:rFonts w:hint="eastAsia" w:cs="宋体"/>
          <w:sz w:val="28"/>
          <w:szCs w:val="28"/>
          <w:lang w:val="en-US" w:eastAsia="zh-CN"/>
        </w:rPr>
        <w:t>8</w:t>
      </w:r>
      <w:r>
        <w:rPr>
          <w:rFonts w:hint="eastAsia" w:ascii="宋体" w:hAnsi="宋体" w:eastAsia="宋体" w:cs="宋体"/>
          <w:sz w:val="28"/>
          <w:szCs w:val="28"/>
          <w:lang w:val="en-US" w:eastAsia="zh-CN"/>
        </w:rPr>
        <w:t>、本项目栏杆横管为φ63mm ，次横管为40mm*60mm方管；主立管为40mm*60mm，小立管为φ32mm（间距为120mm）；栏杆总高度为800mm±5mm；栏杆和花篮架子的材质为304材质不锈钢(栏杆及花篮架子最后样式和规格需甲方确认后方可施工）。</w:t>
      </w:r>
      <w:r>
        <w:rPr>
          <w:rFonts w:hint="eastAsia" w:ascii="宋体" w:hAnsi="宋体" w:eastAsia="宋体" w:cs="宋体"/>
          <w:b/>
          <w:bCs/>
          <w:sz w:val="28"/>
          <w:szCs w:val="28"/>
          <w:lang w:val="en-US" w:eastAsia="zh-Hans"/>
        </w:rPr>
        <w:t>（偏离项</w:t>
      </w:r>
      <w:r>
        <w:rPr>
          <w:rFonts w:hint="eastAsia" w:ascii="宋体" w:hAnsi="宋体" w:eastAsia="宋体" w:cs="宋体"/>
          <w:b/>
          <w:bCs/>
          <w:sz w:val="28"/>
          <w:szCs w:val="28"/>
          <w:lang w:val="en-US" w:eastAsia="zh-CN"/>
        </w:rPr>
        <w:t>1</w:t>
      </w:r>
      <w:r>
        <w:rPr>
          <w:rFonts w:hint="eastAsia" w:cs="宋体"/>
          <w:b/>
          <w:bCs/>
          <w:sz w:val="28"/>
          <w:szCs w:val="28"/>
          <w:lang w:val="en-US" w:eastAsia="zh-CN"/>
        </w:rPr>
        <w:t>8</w:t>
      </w:r>
      <w:r>
        <w:rPr>
          <w:rFonts w:hint="eastAsia" w:ascii="宋体" w:hAnsi="宋体" w:eastAsia="宋体" w:cs="宋体"/>
          <w:b/>
          <w:bCs/>
          <w:sz w:val="28"/>
          <w:szCs w:val="28"/>
          <w:lang w:val="en-US" w:eastAsia="zh-Hans"/>
        </w:rPr>
        <w:t>）</w:t>
      </w:r>
    </w:p>
    <w:p w14:paraId="7228C248">
      <w:pPr>
        <w:pStyle w:val="26"/>
        <w:ind w:firstLine="480"/>
        <w:jc w:val="left"/>
        <w:rPr>
          <w:rFonts w:hint="eastAsia" w:ascii="宋体" w:hAnsi="宋体" w:eastAsia="宋体" w:cs="宋体"/>
          <w:b/>
          <w:bCs/>
          <w:sz w:val="28"/>
          <w:szCs w:val="28"/>
          <w:lang w:val="en-US" w:eastAsia="zh-Hans"/>
        </w:rPr>
      </w:pPr>
      <w:r>
        <w:rPr>
          <w:rFonts w:hint="eastAsia" w:ascii="宋体" w:hAnsi="宋体" w:eastAsia="宋体" w:cs="宋体"/>
          <w:sz w:val="28"/>
          <w:szCs w:val="28"/>
          <w:lang w:val="en-US" w:eastAsia="zh-CN"/>
        </w:rPr>
        <w:t>9</w:t>
      </w:r>
      <w:r>
        <w:rPr>
          <w:rFonts w:hint="eastAsia" w:ascii="宋体" w:hAnsi="宋体" w:eastAsia="宋体" w:cs="宋体"/>
          <w:sz w:val="28"/>
          <w:szCs w:val="28"/>
        </w:rPr>
        <w:t>、根据现场</w:t>
      </w:r>
      <w:r>
        <w:rPr>
          <w:rFonts w:hint="eastAsia" w:ascii="宋体" w:hAnsi="宋体" w:eastAsia="宋体" w:cs="宋体"/>
          <w:sz w:val="28"/>
          <w:szCs w:val="28"/>
          <w:lang w:eastAsia="zh-CN"/>
        </w:rPr>
        <w:t>装修</w:t>
      </w:r>
      <w:r>
        <w:rPr>
          <w:rFonts w:hint="eastAsia" w:ascii="宋体" w:hAnsi="宋体" w:eastAsia="宋体" w:cs="宋体"/>
          <w:sz w:val="28"/>
          <w:szCs w:val="28"/>
        </w:rPr>
        <w:t>条件</w:t>
      </w:r>
      <w:r>
        <w:rPr>
          <w:rFonts w:hint="eastAsia" w:ascii="宋体" w:hAnsi="宋体" w:eastAsia="宋体" w:cs="宋体"/>
          <w:sz w:val="28"/>
          <w:szCs w:val="28"/>
          <w:lang w:eastAsia="zh-CN"/>
        </w:rPr>
        <w:t>和施工难度</w:t>
      </w:r>
      <w:r>
        <w:rPr>
          <w:rFonts w:hint="eastAsia" w:ascii="宋体" w:hAnsi="宋体" w:eastAsia="宋体" w:cs="宋体"/>
          <w:sz w:val="28"/>
          <w:szCs w:val="28"/>
        </w:rPr>
        <w:t>，应允许招标人对于施工内容数量、</w:t>
      </w:r>
      <w:r>
        <w:rPr>
          <w:rFonts w:hint="eastAsia" w:ascii="宋体" w:hAnsi="宋体" w:eastAsia="宋体" w:cs="宋体"/>
          <w:sz w:val="28"/>
          <w:szCs w:val="28"/>
          <w:lang w:eastAsia="zh-CN"/>
        </w:rPr>
        <w:t>规格尺寸</w:t>
      </w:r>
      <w:r>
        <w:rPr>
          <w:rFonts w:hint="eastAsia" w:ascii="宋体" w:hAnsi="宋体" w:eastAsia="宋体" w:cs="宋体"/>
          <w:sz w:val="28"/>
          <w:szCs w:val="28"/>
        </w:rPr>
        <w:t>、项目范围等方面的适度调整。投标人应该充分估计和接受因上述调整给自身带来的计划变更及损失，不得以任何理由拒绝。</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19</w:t>
      </w:r>
      <w:r>
        <w:rPr>
          <w:rFonts w:hint="eastAsia" w:ascii="宋体" w:hAnsi="宋体" w:eastAsia="宋体" w:cs="宋体"/>
          <w:b/>
          <w:bCs/>
          <w:sz w:val="28"/>
          <w:szCs w:val="28"/>
        </w:rPr>
        <w:t>）</w:t>
      </w:r>
    </w:p>
    <w:p w14:paraId="5290CEC5">
      <w:pPr>
        <w:pStyle w:val="11"/>
        <w:spacing w:before="0" w:beforeAutospacing="0" w:after="150" w:afterAutospacing="0" w:line="300" w:lineRule="atLeast"/>
        <w:ind w:firstLine="280" w:firstLineChars="100"/>
        <w:rPr>
          <w:rFonts w:hint="eastAsia"/>
        </w:rPr>
      </w:pPr>
      <w:r>
        <w:rPr>
          <w:rFonts w:hint="eastAsia" w:cs="宋体"/>
          <w:sz w:val="28"/>
          <w:szCs w:val="28"/>
          <w:lang w:val="en-US" w:eastAsia="zh-CN"/>
        </w:rPr>
        <w:t>10</w:t>
      </w:r>
      <w:r>
        <w:rPr>
          <w:rFonts w:hint="eastAsia" w:ascii="宋体" w:hAnsi="宋体" w:eastAsia="宋体" w:cs="宋体"/>
          <w:sz w:val="28"/>
          <w:szCs w:val="28"/>
          <w:lang w:eastAsia="zh-CN"/>
        </w:rPr>
        <w:t>、</w:t>
      </w:r>
      <w:r>
        <w:rPr>
          <w:rStyle w:val="14"/>
          <w:rFonts w:hint="eastAsia" w:ascii="宋体" w:hAnsi="宋体" w:eastAsia="宋体" w:cs="宋体"/>
          <w:b w:val="0"/>
          <w:bCs w:val="0"/>
          <w:sz w:val="28"/>
          <w:szCs w:val="28"/>
        </w:rPr>
        <w:t>成交供应商应确保在施工期间不影响医院各区域正常工作的开展</w:t>
      </w:r>
      <w:r>
        <w:rPr>
          <w:rStyle w:val="14"/>
          <w:rFonts w:hint="eastAsia" w:cs="宋体"/>
          <w:b w:val="0"/>
          <w:bCs w:val="0"/>
          <w:sz w:val="28"/>
          <w:szCs w:val="28"/>
          <w:lang w:eastAsia="zh-CN"/>
        </w:rPr>
        <w:t>，</w:t>
      </w:r>
      <w:r>
        <w:rPr>
          <w:rStyle w:val="14"/>
          <w:rFonts w:hint="eastAsia" w:ascii="宋体" w:hAnsi="宋体" w:eastAsia="宋体" w:cs="宋体"/>
          <w:b w:val="0"/>
          <w:bCs w:val="0"/>
          <w:sz w:val="28"/>
          <w:szCs w:val="28"/>
        </w:rPr>
        <w:t>需根据甲方需求在指定时间内完成。</w:t>
      </w:r>
      <w:r>
        <w:rPr>
          <w:rFonts w:hint="eastAsia" w:ascii="宋体" w:hAnsi="宋体" w:eastAsia="宋体" w:cs="宋体"/>
          <w:b/>
          <w:bCs/>
          <w:sz w:val="28"/>
          <w:szCs w:val="28"/>
          <w:lang w:val="en-US" w:eastAsia="zh-Hans"/>
        </w:rPr>
        <w:t>（偏离项</w:t>
      </w:r>
      <w:r>
        <w:rPr>
          <w:rFonts w:hint="eastAsia" w:cs="宋体"/>
          <w:b/>
          <w:bCs/>
          <w:sz w:val="28"/>
          <w:szCs w:val="28"/>
          <w:lang w:val="en-US" w:eastAsia="zh-CN"/>
        </w:rPr>
        <w:t>20</w:t>
      </w:r>
      <w:r>
        <w:rPr>
          <w:rFonts w:hint="eastAsia" w:ascii="宋体" w:hAnsi="宋体" w:eastAsia="宋体" w:cs="宋体"/>
          <w:b/>
          <w:bCs/>
          <w:sz w:val="28"/>
          <w:szCs w:val="28"/>
          <w:lang w:val="en-US" w:eastAsia="zh-Hans"/>
        </w:rPr>
        <w:t>）</w:t>
      </w:r>
    </w:p>
    <w:p w14:paraId="7BA8AA29">
      <w:pPr>
        <w:pStyle w:val="11"/>
        <w:spacing w:before="75" w:beforeAutospacing="0" w:after="75" w:afterAutospacing="0"/>
      </w:pPr>
      <w:r>
        <w:rPr>
          <w:rFonts w:hint="eastAsia"/>
        </w:rPr>
        <w:t>三、商务条件</w:t>
      </w:r>
      <w:r>
        <w:rPr>
          <w:rStyle w:val="14"/>
          <w:rFonts w:hint="eastAsia"/>
          <w:bCs w:val="0"/>
        </w:rPr>
        <w:t>（以“★”标示的内容为不允许负偏离的实质性要求）</w:t>
      </w:r>
    </w:p>
    <w:p w14:paraId="320C2BE5">
      <w:pPr>
        <w:pStyle w:val="11"/>
        <w:spacing w:before="75" w:beforeAutospacing="0" w:after="75" w:afterAutospacing="0"/>
        <w:rPr>
          <w:rStyle w:val="14"/>
          <w:rFonts w:hint="eastAsia"/>
          <w:bCs w:val="0"/>
        </w:rPr>
      </w:pPr>
      <w:r>
        <w:rPr>
          <w:rStyle w:val="14"/>
          <w:rFonts w:hint="eastAsia"/>
          <w:bCs w:val="0"/>
        </w:rPr>
        <w:t>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4"/>
        <w:gridCol w:w="1250"/>
        <w:gridCol w:w="1521"/>
        <w:gridCol w:w="4479"/>
      </w:tblGrid>
      <w:tr w14:paraId="2AA40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0E0C74C8">
            <w:pPr>
              <w:pStyle w:val="26"/>
              <w:spacing w:line="400" w:lineRule="exact"/>
              <w:jc w:val="center"/>
              <w:rPr>
                <w:rFonts w:ascii="宋体" w:hAnsi="宋体" w:cs="宋体"/>
                <w:sz w:val="24"/>
                <w:szCs w:val="24"/>
              </w:rPr>
            </w:pPr>
            <w:r>
              <w:rPr>
                <w:rFonts w:ascii="宋体" w:hAnsi="宋体" w:cs="宋体"/>
                <w:sz w:val="24"/>
                <w:szCs w:val="24"/>
              </w:rPr>
              <w:t>序号</w:t>
            </w:r>
          </w:p>
        </w:tc>
        <w:tc>
          <w:tcPr>
            <w:tcW w:w="1250" w:type="dxa"/>
            <w:vAlign w:val="center"/>
          </w:tcPr>
          <w:p w14:paraId="55AF84FB">
            <w:pPr>
              <w:pStyle w:val="26"/>
              <w:spacing w:line="400" w:lineRule="exact"/>
              <w:jc w:val="center"/>
              <w:rPr>
                <w:rFonts w:ascii="宋体" w:hAnsi="宋体" w:cs="宋体"/>
                <w:sz w:val="24"/>
                <w:szCs w:val="24"/>
              </w:rPr>
            </w:pPr>
            <w:r>
              <w:rPr>
                <w:rFonts w:ascii="宋体" w:hAnsi="宋体" w:cs="宋体"/>
                <w:sz w:val="24"/>
                <w:szCs w:val="24"/>
              </w:rPr>
              <w:t>参数性质</w:t>
            </w:r>
          </w:p>
        </w:tc>
        <w:tc>
          <w:tcPr>
            <w:tcW w:w="1521" w:type="dxa"/>
            <w:vAlign w:val="center"/>
          </w:tcPr>
          <w:p w14:paraId="587D25AF">
            <w:pPr>
              <w:pStyle w:val="26"/>
              <w:spacing w:line="400" w:lineRule="exact"/>
              <w:jc w:val="center"/>
              <w:rPr>
                <w:rFonts w:ascii="宋体" w:hAnsi="宋体" w:cs="宋体"/>
                <w:sz w:val="24"/>
                <w:szCs w:val="24"/>
              </w:rPr>
            </w:pPr>
            <w:r>
              <w:rPr>
                <w:rFonts w:ascii="宋体" w:hAnsi="宋体" w:cs="宋体"/>
                <w:sz w:val="24"/>
                <w:szCs w:val="24"/>
              </w:rPr>
              <w:t>类型</w:t>
            </w:r>
          </w:p>
        </w:tc>
        <w:tc>
          <w:tcPr>
            <w:tcW w:w="4479" w:type="dxa"/>
          </w:tcPr>
          <w:p w14:paraId="70AB4A89">
            <w:pPr>
              <w:pStyle w:val="26"/>
              <w:spacing w:line="400" w:lineRule="exact"/>
              <w:rPr>
                <w:rFonts w:ascii="宋体" w:hAnsi="宋体" w:cs="宋体"/>
                <w:sz w:val="24"/>
                <w:szCs w:val="24"/>
              </w:rPr>
            </w:pPr>
            <w:r>
              <w:rPr>
                <w:rFonts w:ascii="宋体" w:hAnsi="宋体" w:cs="宋体"/>
                <w:sz w:val="24"/>
                <w:szCs w:val="24"/>
              </w:rPr>
              <w:t>要求</w:t>
            </w:r>
          </w:p>
        </w:tc>
      </w:tr>
      <w:tr w14:paraId="03F88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450FEF14">
            <w:pPr>
              <w:pStyle w:val="26"/>
              <w:spacing w:line="400" w:lineRule="exact"/>
              <w:jc w:val="center"/>
              <w:rPr>
                <w:rFonts w:ascii="宋体" w:hAnsi="宋体" w:cs="宋体"/>
                <w:sz w:val="24"/>
                <w:szCs w:val="24"/>
              </w:rPr>
            </w:pPr>
            <w:r>
              <w:rPr>
                <w:rFonts w:ascii="宋体" w:hAnsi="宋体" w:cs="宋体"/>
                <w:sz w:val="24"/>
                <w:szCs w:val="24"/>
              </w:rPr>
              <w:t>1</w:t>
            </w:r>
          </w:p>
        </w:tc>
        <w:tc>
          <w:tcPr>
            <w:tcW w:w="1250" w:type="dxa"/>
            <w:vAlign w:val="center"/>
          </w:tcPr>
          <w:p w14:paraId="2E84A8DA">
            <w:pPr>
              <w:pStyle w:val="26"/>
              <w:spacing w:line="400" w:lineRule="exact"/>
              <w:jc w:val="center"/>
              <w:rPr>
                <w:rFonts w:ascii="宋体" w:hAnsi="宋体" w:cs="宋体"/>
                <w:sz w:val="24"/>
                <w:szCs w:val="24"/>
              </w:rPr>
            </w:pPr>
            <w:r>
              <w:rPr>
                <w:rFonts w:ascii="宋体" w:hAnsi="宋体" w:cs="宋体"/>
                <w:sz w:val="24"/>
                <w:szCs w:val="24"/>
              </w:rPr>
              <w:t>★</w:t>
            </w:r>
          </w:p>
        </w:tc>
        <w:tc>
          <w:tcPr>
            <w:tcW w:w="1521" w:type="dxa"/>
            <w:vAlign w:val="center"/>
          </w:tcPr>
          <w:p w14:paraId="5470A21A">
            <w:pPr>
              <w:pStyle w:val="26"/>
              <w:spacing w:line="400" w:lineRule="exact"/>
              <w:jc w:val="center"/>
              <w:rPr>
                <w:rFonts w:ascii="宋体" w:hAnsi="宋体" w:cs="宋体"/>
                <w:sz w:val="24"/>
                <w:szCs w:val="24"/>
              </w:rPr>
            </w:pPr>
            <w:r>
              <w:rPr>
                <w:rFonts w:ascii="宋体" w:hAnsi="宋体" w:cs="宋体"/>
                <w:sz w:val="24"/>
                <w:szCs w:val="24"/>
              </w:rPr>
              <w:t>交付时间</w:t>
            </w:r>
          </w:p>
        </w:tc>
        <w:tc>
          <w:tcPr>
            <w:tcW w:w="4479" w:type="dxa"/>
          </w:tcPr>
          <w:p w14:paraId="1EB25744">
            <w:pPr>
              <w:pStyle w:val="26"/>
              <w:spacing w:line="400" w:lineRule="exact"/>
              <w:rPr>
                <w:rFonts w:ascii="宋体" w:hAnsi="宋体" w:cs="宋体"/>
                <w:sz w:val="24"/>
                <w:szCs w:val="24"/>
              </w:rPr>
            </w:pPr>
            <w:r>
              <w:rPr>
                <w:rFonts w:ascii="宋体" w:hAnsi="宋体" w:cs="宋体"/>
                <w:sz w:val="24"/>
                <w:szCs w:val="24"/>
                <w:lang w:eastAsia="zh-CN"/>
              </w:rPr>
              <w:t>合同签订后，接甲方通知后，</w:t>
            </w:r>
            <w:r>
              <w:rPr>
                <w:rFonts w:hint="eastAsia" w:ascii="宋体" w:hAnsi="宋体" w:cs="宋体"/>
                <w:sz w:val="24"/>
                <w:szCs w:val="24"/>
                <w:lang w:val="en-US" w:eastAsia="zh-CN"/>
              </w:rPr>
              <w:t>30</w:t>
            </w:r>
            <w:r>
              <w:rPr>
                <w:rFonts w:ascii="宋体" w:hAnsi="宋体" w:cs="宋体"/>
                <w:sz w:val="24"/>
                <w:szCs w:val="24"/>
                <w:lang w:eastAsia="zh-CN"/>
              </w:rPr>
              <w:t>日内完工</w:t>
            </w:r>
          </w:p>
        </w:tc>
      </w:tr>
      <w:tr w14:paraId="6457C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5439A66E">
            <w:pPr>
              <w:pStyle w:val="26"/>
              <w:spacing w:line="400" w:lineRule="exact"/>
              <w:jc w:val="center"/>
              <w:rPr>
                <w:rFonts w:ascii="宋体" w:hAnsi="宋体" w:cs="宋体"/>
                <w:sz w:val="24"/>
                <w:szCs w:val="24"/>
              </w:rPr>
            </w:pPr>
            <w:r>
              <w:rPr>
                <w:rFonts w:ascii="宋体" w:hAnsi="宋体" w:cs="宋体"/>
                <w:sz w:val="24"/>
                <w:szCs w:val="24"/>
              </w:rPr>
              <w:t>2</w:t>
            </w:r>
          </w:p>
        </w:tc>
        <w:tc>
          <w:tcPr>
            <w:tcW w:w="1250" w:type="dxa"/>
            <w:vAlign w:val="center"/>
          </w:tcPr>
          <w:p w14:paraId="7179F9F6">
            <w:pPr>
              <w:pStyle w:val="26"/>
              <w:spacing w:line="400" w:lineRule="exact"/>
              <w:jc w:val="center"/>
              <w:rPr>
                <w:rFonts w:ascii="宋体" w:hAnsi="宋体" w:cs="宋体"/>
                <w:sz w:val="24"/>
                <w:szCs w:val="24"/>
              </w:rPr>
            </w:pPr>
            <w:r>
              <w:rPr>
                <w:rFonts w:ascii="宋体" w:hAnsi="宋体" w:cs="宋体"/>
                <w:sz w:val="24"/>
                <w:szCs w:val="24"/>
              </w:rPr>
              <w:t>★</w:t>
            </w:r>
          </w:p>
        </w:tc>
        <w:tc>
          <w:tcPr>
            <w:tcW w:w="1521" w:type="dxa"/>
            <w:vAlign w:val="center"/>
          </w:tcPr>
          <w:p w14:paraId="0FA0C475">
            <w:pPr>
              <w:pStyle w:val="26"/>
              <w:spacing w:line="400" w:lineRule="exact"/>
              <w:jc w:val="center"/>
              <w:rPr>
                <w:rFonts w:ascii="宋体" w:hAnsi="宋体" w:cs="宋体"/>
                <w:sz w:val="24"/>
                <w:szCs w:val="24"/>
              </w:rPr>
            </w:pPr>
            <w:r>
              <w:rPr>
                <w:rFonts w:ascii="宋体" w:hAnsi="宋体" w:cs="宋体"/>
                <w:sz w:val="24"/>
                <w:szCs w:val="24"/>
              </w:rPr>
              <w:t>交付地点</w:t>
            </w:r>
          </w:p>
        </w:tc>
        <w:tc>
          <w:tcPr>
            <w:tcW w:w="4479" w:type="dxa"/>
          </w:tcPr>
          <w:p w14:paraId="167980B0">
            <w:pPr>
              <w:pStyle w:val="26"/>
              <w:spacing w:line="400" w:lineRule="exact"/>
              <w:rPr>
                <w:rFonts w:ascii="宋体" w:hAnsi="宋体" w:cs="宋体"/>
                <w:sz w:val="24"/>
                <w:szCs w:val="24"/>
              </w:rPr>
            </w:pPr>
            <w:r>
              <w:rPr>
                <w:rFonts w:ascii="宋体" w:hAnsi="宋体" w:cs="宋体"/>
                <w:sz w:val="24"/>
                <w:szCs w:val="24"/>
                <w:lang w:eastAsia="zh-CN"/>
              </w:rPr>
              <w:t>福建省</w:t>
            </w:r>
            <w:r>
              <w:rPr>
                <w:rFonts w:ascii="宋体" w:hAnsi="宋体" w:cs="宋体"/>
                <w:sz w:val="24"/>
                <w:szCs w:val="24"/>
              </w:rPr>
              <w:t>福州市福马420号</w:t>
            </w:r>
          </w:p>
        </w:tc>
      </w:tr>
      <w:tr w14:paraId="68675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40FD0CE9">
            <w:pPr>
              <w:pStyle w:val="26"/>
              <w:spacing w:line="400" w:lineRule="exact"/>
              <w:jc w:val="center"/>
              <w:rPr>
                <w:rFonts w:ascii="宋体" w:hAnsi="宋体" w:cs="宋体"/>
                <w:sz w:val="24"/>
                <w:szCs w:val="24"/>
              </w:rPr>
            </w:pPr>
            <w:r>
              <w:rPr>
                <w:rFonts w:ascii="宋体" w:hAnsi="宋体" w:cs="宋体"/>
                <w:sz w:val="24"/>
                <w:szCs w:val="24"/>
              </w:rPr>
              <w:t>3</w:t>
            </w:r>
          </w:p>
        </w:tc>
        <w:tc>
          <w:tcPr>
            <w:tcW w:w="1250" w:type="dxa"/>
            <w:vAlign w:val="center"/>
          </w:tcPr>
          <w:p w14:paraId="3DD1A45A">
            <w:pPr>
              <w:pStyle w:val="26"/>
              <w:spacing w:line="400" w:lineRule="exact"/>
              <w:jc w:val="center"/>
              <w:rPr>
                <w:rFonts w:ascii="宋体" w:hAnsi="宋体" w:cs="宋体"/>
                <w:sz w:val="24"/>
                <w:szCs w:val="24"/>
              </w:rPr>
            </w:pPr>
            <w:r>
              <w:rPr>
                <w:rFonts w:ascii="宋体" w:hAnsi="宋体" w:cs="宋体"/>
                <w:sz w:val="24"/>
                <w:szCs w:val="24"/>
              </w:rPr>
              <w:t>★</w:t>
            </w:r>
          </w:p>
        </w:tc>
        <w:tc>
          <w:tcPr>
            <w:tcW w:w="1521" w:type="dxa"/>
            <w:vAlign w:val="center"/>
          </w:tcPr>
          <w:p w14:paraId="1BA763CF">
            <w:pPr>
              <w:pStyle w:val="26"/>
              <w:spacing w:line="400" w:lineRule="exact"/>
              <w:jc w:val="center"/>
              <w:rPr>
                <w:rFonts w:ascii="宋体" w:hAnsi="宋体" w:cs="宋体"/>
                <w:sz w:val="24"/>
                <w:szCs w:val="24"/>
              </w:rPr>
            </w:pPr>
            <w:r>
              <w:rPr>
                <w:rFonts w:ascii="宋体" w:hAnsi="宋体" w:cs="宋体"/>
                <w:sz w:val="24"/>
                <w:szCs w:val="24"/>
              </w:rPr>
              <w:t>交付条件</w:t>
            </w:r>
          </w:p>
        </w:tc>
        <w:tc>
          <w:tcPr>
            <w:tcW w:w="4479" w:type="dxa"/>
          </w:tcPr>
          <w:p w14:paraId="15C99797">
            <w:pPr>
              <w:pStyle w:val="11"/>
              <w:spacing w:before="75" w:beforeAutospacing="0" w:after="75" w:afterAutospacing="0"/>
              <w:rPr>
                <w:rStyle w:val="14"/>
                <w:rFonts w:hint="eastAsia"/>
                <w:bCs w:val="0"/>
              </w:rPr>
            </w:pPr>
            <w:r>
              <w:rPr>
                <w:rFonts w:hint="eastAsia"/>
              </w:rPr>
              <w:t>符合《工程施工质量验收规范》等标准。</w:t>
            </w:r>
          </w:p>
          <w:p w14:paraId="49CBD9DB">
            <w:pPr>
              <w:pStyle w:val="26"/>
              <w:spacing w:line="400" w:lineRule="exact"/>
              <w:rPr>
                <w:lang w:eastAsia="zh-CN"/>
              </w:rPr>
            </w:pPr>
          </w:p>
        </w:tc>
      </w:tr>
      <w:tr w14:paraId="60B20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517F476D">
            <w:pPr>
              <w:pStyle w:val="26"/>
              <w:spacing w:line="400" w:lineRule="exact"/>
              <w:jc w:val="center"/>
              <w:rPr>
                <w:rFonts w:ascii="宋体" w:hAnsi="宋体" w:cs="宋体"/>
                <w:sz w:val="24"/>
                <w:szCs w:val="24"/>
              </w:rPr>
            </w:pPr>
            <w:r>
              <w:rPr>
                <w:rFonts w:ascii="宋体" w:hAnsi="宋体" w:cs="宋体"/>
                <w:sz w:val="24"/>
                <w:szCs w:val="24"/>
              </w:rPr>
              <w:t>4</w:t>
            </w:r>
          </w:p>
        </w:tc>
        <w:tc>
          <w:tcPr>
            <w:tcW w:w="1250" w:type="dxa"/>
            <w:vAlign w:val="center"/>
          </w:tcPr>
          <w:p w14:paraId="3E3B5BC9">
            <w:pPr>
              <w:pStyle w:val="26"/>
              <w:spacing w:line="400" w:lineRule="exact"/>
              <w:jc w:val="center"/>
              <w:rPr>
                <w:rFonts w:ascii="宋体" w:hAnsi="宋体" w:cs="宋体"/>
                <w:sz w:val="24"/>
                <w:szCs w:val="24"/>
              </w:rPr>
            </w:pPr>
            <w:r>
              <w:rPr>
                <w:rFonts w:ascii="宋体" w:hAnsi="宋体" w:cs="宋体"/>
                <w:sz w:val="24"/>
                <w:szCs w:val="24"/>
              </w:rPr>
              <w:t>★</w:t>
            </w:r>
          </w:p>
        </w:tc>
        <w:tc>
          <w:tcPr>
            <w:tcW w:w="1521" w:type="dxa"/>
            <w:vAlign w:val="center"/>
          </w:tcPr>
          <w:p w14:paraId="0E709D27">
            <w:pPr>
              <w:pStyle w:val="26"/>
              <w:spacing w:line="400" w:lineRule="exact"/>
              <w:jc w:val="center"/>
              <w:rPr>
                <w:rFonts w:ascii="宋体" w:hAnsi="宋体" w:cs="宋体"/>
                <w:sz w:val="24"/>
                <w:szCs w:val="24"/>
              </w:rPr>
            </w:pPr>
            <w:r>
              <w:rPr>
                <w:rFonts w:ascii="宋体" w:hAnsi="宋体" w:cs="宋体"/>
                <w:sz w:val="24"/>
                <w:szCs w:val="24"/>
              </w:rPr>
              <w:t>是否邀请投标人验收</w:t>
            </w:r>
          </w:p>
        </w:tc>
        <w:tc>
          <w:tcPr>
            <w:tcW w:w="4479" w:type="dxa"/>
          </w:tcPr>
          <w:p w14:paraId="206E190D">
            <w:pPr>
              <w:pStyle w:val="26"/>
              <w:spacing w:line="400" w:lineRule="exact"/>
              <w:rPr>
                <w:rFonts w:ascii="宋体" w:hAnsi="宋体" w:cs="宋体"/>
                <w:sz w:val="24"/>
                <w:szCs w:val="24"/>
              </w:rPr>
            </w:pPr>
            <w:r>
              <w:rPr>
                <w:rFonts w:ascii="宋体" w:hAnsi="宋体" w:cs="宋体"/>
                <w:sz w:val="24"/>
                <w:szCs w:val="24"/>
              </w:rPr>
              <w:t>不邀请投标人验收</w:t>
            </w:r>
          </w:p>
        </w:tc>
      </w:tr>
      <w:tr w14:paraId="0B38E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5FC9651E">
            <w:pPr>
              <w:pStyle w:val="26"/>
              <w:spacing w:line="400" w:lineRule="exact"/>
              <w:jc w:val="center"/>
              <w:rPr>
                <w:rFonts w:ascii="宋体" w:hAnsi="宋体" w:cs="宋体"/>
                <w:sz w:val="24"/>
                <w:szCs w:val="24"/>
              </w:rPr>
            </w:pPr>
            <w:r>
              <w:rPr>
                <w:rFonts w:ascii="宋体" w:hAnsi="宋体" w:cs="宋体"/>
                <w:sz w:val="24"/>
                <w:szCs w:val="24"/>
              </w:rPr>
              <w:t>5</w:t>
            </w:r>
          </w:p>
        </w:tc>
        <w:tc>
          <w:tcPr>
            <w:tcW w:w="1250" w:type="dxa"/>
            <w:vAlign w:val="center"/>
          </w:tcPr>
          <w:p w14:paraId="7C109FF8">
            <w:pPr>
              <w:pStyle w:val="26"/>
              <w:spacing w:line="400" w:lineRule="exact"/>
              <w:jc w:val="center"/>
              <w:rPr>
                <w:rFonts w:ascii="宋体" w:hAnsi="宋体" w:cs="宋体"/>
                <w:sz w:val="24"/>
                <w:szCs w:val="24"/>
              </w:rPr>
            </w:pPr>
            <w:r>
              <w:rPr>
                <w:rFonts w:ascii="宋体" w:hAnsi="宋体" w:cs="宋体"/>
                <w:sz w:val="24"/>
                <w:szCs w:val="24"/>
              </w:rPr>
              <w:t>★</w:t>
            </w:r>
          </w:p>
        </w:tc>
        <w:tc>
          <w:tcPr>
            <w:tcW w:w="1521" w:type="dxa"/>
            <w:vAlign w:val="center"/>
          </w:tcPr>
          <w:p w14:paraId="149E1B0A">
            <w:pPr>
              <w:pStyle w:val="26"/>
              <w:spacing w:line="400" w:lineRule="exact"/>
              <w:jc w:val="center"/>
              <w:rPr>
                <w:rFonts w:ascii="宋体" w:hAnsi="宋体" w:cs="宋体"/>
                <w:sz w:val="24"/>
                <w:szCs w:val="24"/>
              </w:rPr>
            </w:pPr>
            <w:r>
              <w:rPr>
                <w:rFonts w:ascii="宋体" w:hAnsi="宋体" w:cs="宋体"/>
                <w:sz w:val="24"/>
                <w:szCs w:val="24"/>
              </w:rPr>
              <w:t>履约验收方式</w:t>
            </w:r>
          </w:p>
        </w:tc>
        <w:tc>
          <w:tcPr>
            <w:tcW w:w="4479" w:type="dxa"/>
          </w:tcPr>
          <w:p w14:paraId="64F01D5C">
            <w:pPr>
              <w:pStyle w:val="26"/>
              <w:numPr>
                <w:ilvl w:val="0"/>
                <w:numId w:val="4"/>
              </w:numPr>
              <w:spacing w:line="400" w:lineRule="exact"/>
              <w:rPr>
                <w:rFonts w:ascii="宋体" w:hAnsi="宋体" w:cs="宋体"/>
                <w:sz w:val="24"/>
                <w:szCs w:val="24"/>
              </w:rPr>
            </w:pPr>
            <w:r>
              <w:rPr>
                <w:rFonts w:ascii="宋体" w:hAnsi="宋体" w:cs="宋体"/>
                <w:sz w:val="24"/>
                <w:szCs w:val="24"/>
              </w:rPr>
              <w:t>期次1，说明：按照磋商文件及合同要求执行。</w:t>
            </w:r>
          </w:p>
        </w:tc>
      </w:tr>
      <w:tr w14:paraId="53BFA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1C722A48">
            <w:pPr>
              <w:pStyle w:val="26"/>
              <w:spacing w:line="400" w:lineRule="exact"/>
              <w:jc w:val="center"/>
              <w:rPr>
                <w:rFonts w:ascii="宋体" w:hAnsi="宋体" w:cs="宋体"/>
                <w:sz w:val="24"/>
                <w:szCs w:val="24"/>
              </w:rPr>
            </w:pPr>
            <w:r>
              <w:rPr>
                <w:rFonts w:ascii="宋体" w:hAnsi="宋体" w:cs="宋体"/>
                <w:sz w:val="24"/>
                <w:szCs w:val="24"/>
              </w:rPr>
              <w:t>6</w:t>
            </w:r>
          </w:p>
        </w:tc>
        <w:tc>
          <w:tcPr>
            <w:tcW w:w="1250" w:type="dxa"/>
            <w:vAlign w:val="center"/>
          </w:tcPr>
          <w:p w14:paraId="2D631A0C">
            <w:pPr>
              <w:pStyle w:val="26"/>
              <w:spacing w:line="400" w:lineRule="exact"/>
              <w:jc w:val="center"/>
              <w:rPr>
                <w:rFonts w:ascii="宋体" w:hAnsi="宋体" w:cs="宋体"/>
                <w:sz w:val="24"/>
                <w:szCs w:val="24"/>
              </w:rPr>
            </w:pPr>
            <w:r>
              <w:rPr>
                <w:rFonts w:ascii="宋体" w:hAnsi="宋体" w:cs="宋体"/>
                <w:sz w:val="24"/>
                <w:szCs w:val="24"/>
              </w:rPr>
              <w:t>★</w:t>
            </w:r>
          </w:p>
        </w:tc>
        <w:tc>
          <w:tcPr>
            <w:tcW w:w="1521" w:type="dxa"/>
            <w:vAlign w:val="center"/>
          </w:tcPr>
          <w:p w14:paraId="02B5D657">
            <w:pPr>
              <w:pStyle w:val="26"/>
              <w:spacing w:line="400" w:lineRule="exact"/>
              <w:jc w:val="center"/>
              <w:rPr>
                <w:rFonts w:ascii="宋体" w:hAnsi="宋体" w:cs="宋体"/>
                <w:sz w:val="24"/>
                <w:szCs w:val="24"/>
              </w:rPr>
            </w:pPr>
            <w:r>
              <w:rPr>
                <w:rFonts w:ascii="宋体" w:hAnsi="宋体" w:cs="宋体"/>
                <w:sz w:val="24"/>
                <w:szCs w:val="24"/>
              </w:rPr>
              <w:t>合同支付方式</w:t>
            </w:r>
          </w:p>
        </w:tc>
        <w:tc>
          <w:tcPr>
            <w:tcW w:w="4479" w:type="dxa"/>
          </w:tcPr>
          <w:p w14:paraId="31243B6D">
            <w:pPr>
              <w:pStyle w:val="11"/>
              <w:spacing w:line="465" w:lineRule="atLeast"/>
              <w:rPr>
                <w:rFonts w:hint="eastAsia" w:ascii="微软雅黑" w:hAnsi="微软雅黑" w:eastAsia="微软雅黑" w:cs="微软雅黑"/>
                <w:b/>
                <w:bCs/>
                <w:sz w:val="27"/>
                <w:szCs w:val="27"/>
              </w:rPr>
            </w:pPr>
            <w:r>
              <w:rPr>
                <w:rFonts w:hint="eastAsia"/>
              </w:rPr>
              <w:t>工程在工期内完工、提供完整竣工资料（含验收报告、竣工图纸等相关材料)</w:t>
            </w:r>
            <w:r>
              <w:rPr>
                <w:rFonts w:hint="eastAsia"/>
                <w:b/>
                <w:bCs/>
                <w:lang w:bidi="ar"/>
              </w:rPr>
              <w:t>，</w:t>
            </w:r>
            <w:r>
              <w:rPr>
                <w:rFonts w:hint="eastAsia"/>
              </w:rPr>
              <w:t>经甲方验收合格后，乙方申报竣工结算，</w:t>
            </w:r>
            <w:r>
              <w:rPr>
                <w:rFonts w:hint="eastAsia"/>
                <w:lang w:eastAsia="zh-CN"/>
              </w:rPr>
              <w:t>并</w:t>
            </w:r>
            <w:r>
              <w:rPr>
                <w:rFonts w:hint="eastAsia"/>
              </w:rPr>
              <w:t>经甲方审计部门审核后，达到付款条件起20日内，支付至审定价款的100%。</w:t>
            </w:r>
          </w:p>
        </w:tc>
      </w:tr>
    </w:tbl>
    <w:p w14:paraId="73FEDABF">
      <w:pPr>
        <w:pStyle w:val="26"/>
        <w:spacing w:line="400" w:lineRule="exact"/>
        <w:rPr>
          <w:rFonts w:ascii="宋体" w:hAnsi="宋体" w:cs="宋体"/>
          <w:sz w:val="24"/>
          <w:szCs w:val="24"/>
        </w:rPr>
      </w:pPr>
      <w:r>
        <w:rPr>
          <w:rFonts w:ascii="宋体" w:hAnsi="宋体" w:cs="宋体"/>
          <w:sz w:val="24"/>
          <w:szCs w:val="24"/>
        </w:rPr>
        <w:t>其他商务要求：</w:t>
      </w:r>
    </w:p>
    <w:p w14:paraId="5E3C00FB">
      <w:pPr>
        <w:pStyle w:val="26"/>
        <w:spacing w:line="400" w:lineRule="exact"/>
        <w:ind w:firstLine="480"/>
        <w:rPr>
          <w:rFonts w:ascii="宋体" w:hAnsi="宋体" w:cs="宋体"/>
          <w:sz w:val="24"/>
          <w:szCs w:val="24"/>
        </w:rPr>
      </w:pPr>
      <w:r>
        <w:rPr>
          <w:rFonts w:ascii="宋体" w:hAnsi="宋体" w:cs="宋体"/>
          <w:sz w:val="24"/>
          <w:szCs w:val="24"/>
          <w:shd w:val="clear" w:color="auto" w:fill="FFFFFF"/>
          <w:lang w:eastAsia="zh-CN"/>
        </w:rPr>
        <w:t>1</w:t>
      </w:r>
      <w:r>
        <w:rPr>
          <w:rFonts w:ascii="宋体" w:hAnsi="宋体" w:cs="宋体"/>
          <w:sz w:val="24"/>
          <w:szCs w:val="24"/>
          <w:shd w:val="clear" w:color="auto" w:fill="FFFFFF"/>
        </w:rPr>
        <w:t>、售后服务</w:t>
      </w:r>
    </w:p>
    <w:p w14:paraId="57C7DD4E">
      <w:pPr>
        <w:pStyle w:val="26"/>
        <w:spacing w:line="400" w:lineRule="exact"/>
        <w:ind w:firstLine="480"/>
        <w:rPr>
          <w:rFonts w:ascii="宋体" w:hAnsi="宋体" w:cs="宋体"/>
          <w:sz w:val="24"/>
          <w:szCs w:val="24"/>
        </w:rPr>
      </w:pPr>
      <w:r>
        <w:rPr>
          <w:rFonts w:ascii="宋体" w:hAnsi="宋体" w:cs="宋体"/>
          <w:sz w:val="24"/>
          <w:szCs w:val="24"/>
          <w:shd w:val="clear" w:color="auto" w:fill="FFFFFF"/>
          <w:lang w:eastAsia="zh-CN"/>
        </w:rPr>
        <w:t>1</w:t>
      </w:r>
      <w:r>
        <w:rPr>
          <w:rFonts w:ascii="宋体" w:hAnsi="宋体" w:cs="宋体"/>
          <w:sz w:val="24"/>
          <w:szCs w:val="24"/>
          <w:shd w:val="clear" w:color="auto" w:fill="FFFFFF"/>
        </w:rPr>
        <w:t>.1本项目工程维保期限为2年，维保期从工程实际完工竣工验收合格</w:t>
      </w:r>
      <w:r>
        <w:rPr>
          <w:rFonts w:ascii="宋体" w:hAnsi="宋体" w:cs="宋体"/>
          <w:sz w:val="24"/>
          <w:szCs w:val="24"/>
        </w:rPr>
        <w:t>之日算起。成交人应当在接到修理通知之日起</w:t>
      </w:r>
      <w:r>
        <w:rPr>
          <w:rFonts w:hint="eastAsia" w:ascii="宋体" w:hAnsi="宋体" w:cs="宋体"/>
          <w:sz w:val="24"/>
          <w:szCs w:val="24"/>
          <w:lang w:val="en-US" w:eastAsia="zh-CN"/>
        </w:rPr>
        <w:t>24</w:t>
      </w:r>
      <w:r>
        <w:rPr>
          <w:rFonts w:ascii="宋体" w:hAnsi="宋体" w:cs="宋体"/>
          <w:sz w:val="24"/>
          <w:szCs w:val="24"/>
        </w:rPr>
        <w:t>小时内派人修理。成交人不在约定期限内派人修理的，采购人可以委托他人进行修理，修理费</w:t>
      </w:r>
      <w:r>
        <w:rPr>
          <w:rFonts w:ascii="宋体" w:hAnsi="宋体" w:cs="宋体"/>
          <w:sz w:val="24"/>
          <w:szCs w:val="24"/>
          <w:lang w:eastAsia="zh-CN"/>
        </w:rPr>
        <w:t>由成交人支付</w:t>
      </w:r>
      <w:r>
        <w:rPr>
          <w:rFonts w:ascii="宋体" w:hAnsi="宋体" w:cs="宋体"/>
          <w:sz w:val="24"/>
          <w:szCs w:val="24"/>
        </w:rPr>
        <w:t>。</w:t>
      </w:r>
    </w:p>
    <w:p w14:paraId="5EA811BD">
      <w:pPr>
        <w:pStyle w:val="26"/>
        <w:spacing w:line="400" w:lineRule="exact"/>
        <w:ind w:firstLine="480"/>
        <w:rPr>
          <w:rFonts w:ascii="宋体" w:hAnsi="宋体" w:cs="宋体"/>
          <w:sz w:val="24"/>
          <w:szCs w:val="24"/>
        </w:rPr>
      </w:pPr>
      <w:r>
        <w:rPr>
          <w:rFonts w:ascii="宋体" w:hAnsi="宋体" w:cs="宋体"/>
          <w:sz w:val="24"/>
          <w:szCs w:val="24"/>
          <w:lang w:eastAsia="zh-CN"/>
        </w:rPr>
        <w:t>1</w:t>
      </w:r>
      <w:r>
        <w:rPr>
          <w:rFonts w:ascii="宋体" w:hAnsi="宋体" w:cs="宋体"/>
          <w:sz w:val="24"/>
          <w:szCs w:val="24"/>
        </w:rPr>
        <w:t>.2维修完成后，由采购人组织验收。</w:t>
      </w:r>
    </w:p>
    <w:p w14:paraId="6F3E034C">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、违约责任</w:t>
      </w:r>
    </w:p>
    <w:p w14:paraId="75633998">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.1因成交人原因造成采购合同无法按时签订，视为成交人违约，成交人违约对采购人造成的损失的，成交人需支付相应的赔偿</w:t>
      </w:r>
      <w:r>
        <w:rPr>
          <w:rFonts w:hint="eastAsia" w:ascii="宋体" w:hAnsi="宋体" w:cs="宋体"/>
          <w:sz w:val="24"/>
          <w:szCs w:val="24"/>
          <w:lang w:eastAsia="zh-CN"/>
        </w:rPr>
        <w:t>（</w:t>
      </w:r>
      <w:r>
        <w:rPr>
          <w:rFonts w:ascii="宋体" w:hAnsi="宋体" w:cs="宋体"/>
          <w:sz w:val="24"/>
          <w:szCs w:val="24"/>
        </w:rPr>
        <w:t xml:space="preserve"> 赔偿</w:t>
      </w:r>
      <w:r>
        <w:rPr>
          <w:rFonts w:hint="eastAsia" w:ascii="宋体" w:hAnsi="宋体" w:cs="宋体"/>
          <w:sz w:val="24"/>
          <w:szCs w:val="24"/>
          <w:lang w:eastAsia="zh-CN"/>
        </w:rPr>
        <w:t>金额为</w:t>
      </w:r>
      <w:r>
        <w:rPr>
          <w:rFonts w:ascii="宋体" w:hAnsi="宋体" w:cs="宋体"/>
          <w:sz w:val="24"/>
          <w:szCs w:val="24"/>
        </w:rPr>
        <w:t>合同</w:t>
      </w:r>
      <w:r>
        <w:rPr>
          <w:rFonts w:hint="eastAsia" w:ascii="宋体" w:hAnsi="宋体" w:cs="宋体"/>
          <w:sz w:val="24"/>
          <w:szCs w:val="24"/>
          <w:lang w:eastAsia="zh-CN"/>
        </w:rPr>
        <w:t>金额</w:t>
      </w:r>
      <w:r>
        <w:rPr>
          <w:rFonts w:ascii="宋体" w:hAnsi="宋体" w:cs="宋体"/>
          <w:sz w:val="24"/>
          <w:szCs w:val="24"/>
        </w:rPr>
        <w:t>的</w:t>
      </w:r>
      <w:r>
        <w:rPr>
          <w:rFonts w:hint="eastAsia" w:ascii="宋体" w:hAnsi="宋体" w:cs="宋体"/>
          <w:sz w:val="24"/>
          <w:szCs w:val="24"/>
          <w:lang w:val="en-US" w:eastAsia="zh-CN"/>
        </w:rPr>
        <w:t>1</w:t>
      </w:r>
      <w:r>
        <w:rPr>
          <w:rFonts w:ascii="宋体" w:hAnsi="宋体" w:cs="宋体"/>
          <w:sz w:val="24"/>
          <w:szCs w:val="24"/>
        </w:rPr>
        <w:t>0％</w:t>
      </w:r>
      <w:r>
        <w:rPr>
          <w:rFonts w:hint="eastAsia" w:ascii="宋体" w:hAnsi="宋体" w:cs="宋体"/>
          <w:sz w:val="24"/>
          <w:szCs w:val="24"/>
          <w:lang w:eastAsia="zh-CN"/>
        </w:rPr>
        <w:t>）</w:t>
      </w:r>
      <w:r>
        <w:rPr>
          <w:rFonts w:ascii="宋体" w:hAnsi="宋体" w:cs="宋体"/>
          <w:sz w:val="24"/>
          <w:szCs w:val="24"/>
        </w:rPr>
        <w:t>。</w:t>
      </w:r>
    </w:p>
    <w:p w14:paraId="22D9BCCB">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 xml:space="preserve">.2在签定采购合同之后，成交人要求解除合同的，视为成交人违约，对采购人造成的损失的，成交人需支付相应的赔偿 </w:t>
      </w:r>
      <w:r>
        <w:rPr>
          <w:rFonts w:hint="eastAsia" w:ascii="宋体" w:hAnsi="宋体" w:cs="宋体"/>
          <w:sz w:val="24"/>
          <w:szCs w:val="24"/>
          <w:lang w:eastAsia="zh-CN"/>
        </w:rPr>
        <w:t>（</w:t>
      </w:r>
      <w:r>
        <w:rPr>
          <w:rFonts w:ascii="宋体" w:hAnsi="宋体" w:cs="宋体"/>
          <w:sz w:val="24"/>
          <w:szCs w:val="24"/>
        </w:rPr>
        <w:t xml:space="preserve"> 赔偿</w:t>
      </w:r>
      <w:r>
        <w:rPr>
          <w:rFonts w:hint="eastAsia" w:ascii="宋体" w:hAnsi="宋体" w:cs="宋体"/>
          <w:sz w:val="24"/>
          <w:szCs w:val="24"/>
          <w:lang w:eastAsia="zh-CN"/>
        </w:rPr>
        <w:t>金额为</w:t>
      </w:r>
      <w:r>
        <w:rPr>
          <w:rFonts w:ascii="宋体" w:hAnsi="宋体" w:cs="宋体"/>
          <w:sz w:val="24"/>
          <w:szCs w:val="24"/>
        </w:rPr>
        <w:t>合同</w:t>
      </w:r>
      <w:r>
        <w:rPr>
          <w:rFonts w:hint="eastAsia" w:ascii="宋体" w:hAnsi="宋体" w:cs="宋体"/>
          <w:sz w:val="24"/>
          <w:szCs w:val="24"/>
          <w:lang w:eastAsia="zh-CN"/>
        </w:rPr>
        <w:t>金额</w:t>
      </w:r>
      <w:r>
        <w:rPr>
          <w:rFonts w:ascii="宋体" w:hAnsi="宋体" w:cs="宋体"/>
          <w:sz w:val="24"/>
          <w:szCs w:val="24"/>
        </w:rPr>
        <w:t>的</w:t>
      </w:r>
      <w:r>
        <w:rPr>
          <w:rFonts w:hint="eastAsia" w:ascii="宋体" w:hAnsi="宋体" w:cs="宋体"/>
          <w:sz w:val="24"/>
          <w:szCs w:val="24"/>
          <w:lang w:val="en-US" w:eastAsia="zh-CN"/>
        </w:rPr>
        <w:t>1</w:t>
      </w:r>
      <w:r>
        <w:rPr>
          <w:rFonts w:ascii="宋体" w:hAnsi="宋体" w:cs="宋体"/>
          <w:sz w:val="24"/>
          <w:szCs w:val="24"/>
        </w:rPr>
        <w:t>0％</w:t>
      </w:r>
      <w:r>
        <w:rPr>
          <w:rFonts w:hint="eastAsia" w:ascii="宋体" w:hAnsi="宋体" w:cs="宋体"/>
          <w:sz w:val="24"/>
          <w:szCs w:val="24"/>
          <w:lang w:eastAsia="zh-CN"/>
        </w:rPr>
        <w:t>）</w:t>
      </w:r>
      <w:r>
        <w:rPr>
          <w:rFonts w:ascii="宋体" w:hAnsi="宋体" w:cs="宋体"/>
          <w:sz w:val="24"/>
          <w:szCs w:val="24"/>
        </w:rPr>
        <w:t>。</w:t>
      </w:r>
    </w:p>
    <w:p w14:paraId="66A5FA91">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.3因成交人原因发生重大质量事故，除依约承担赔偿责任外，还将按有关质量管理办法规定执行。同时，采购人有权保留更换成交人的权利，并报相关行政主管部门处罚。</w:t>
      </w:r>
    </w:p>
    <w:p w14:paraId="49033952">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成交人还应承担赔偿责任。</w:t>
      </w:r>
    </w:p>
    <w:p w14:paraId="2B5826BF">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.5在明确违约责任后，成交人应在接到书面通知书起七天内支付违约金、赔偿金等。</w:t>
      </w:r>
    </w:p>
    <w:p w14:paraId="0F07E4E6">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.6总工期每延误一天，成交人应向采购人支付</w:t>
      </w:r>
      <w:r>
        <w:rPr>
          <w:rFonts w:ascii="宋体" w:hAnsi="宋体" w:cs="宋体"/>
          <w:sz w:val="24"/>
          <w:szCs w:val="24"/>
          <w:lang w:eastAsia="zh-CN"/>
        </w:rPr>
        <w:t>1</w:t>
      </w:r>
      <w:r>
        <w:rPr>
          <w:rFonts w:ascii="宋体" w:hAnsi="宋体" w:cs="宋体"/>
          <w:sz w:val="24"/>
          <w:szCs w:val="24"/>
        </w:rPr>
        <w:t>000元人民币的违约金，由采购人直接从工程款中扣抵；逾期竣工违约金的限额: 合同价款的10％；逾期超过30天且未经采购人书面同意的，采购人有权解除合同，由此产生的责任全部由成交人负责，造成的损失采购人有权向成交人收取赔偿。</w:t>
      </w:r>
    </w:p>
    <w:p w14:paraId="5E77E3D7">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.7如果成交人未能按照合同约定履行免费维修义务的（不可抗力除外），每次应向采购人支付违约金</w:t>
      </w:r>
      <w:r>
        <w:rPr>
          <w:rFonts w:ascii="宋体" w:hAnsi="宋体" w:cs="宋体"/>
          <w:sz w:val="24"/>
          <w:szCs w:val="24"/>
          <w:lang w:eastAsia="zh-CN"/>
        </w:rPr>
        <w:t>1</w:t>
      </w:r>
      <w:r>
        <w:rPr>
          <w:rFonts w:ascii="宋体" w:hAnsi="宋体" w:cs="宋体"/>
          <w:sz w:val="24"/>
          <w:szCs w:val="24"/>
        </w:rPr>
        <w:t>000元。</w:t>
      </w:r>
    </w:p>
    <w:p w14:paraId="718B6DC7">
      <w:pPr>
        <w:pStyle w:val="26"/>
        <w:spacing w:line="400" w:lineRule="exact"/>
        <w:ind w:firstLine="480"/>
        <w:rPr>
          <w:rFonts w:hint="default" w:ascii="宋体" w:hAnsi="宋体" w:cs="宋体"/>
          <w:sz w:val="24"/>
          <w:szCs w:val="24"/>
          <w:lang w:eastAsia="zh-CN"/>
        </w:rPr>
      </w:pPr>
      <w:r>
        <w:rPr>
          <w:rFonts w:ascii="宋体" w:hAnsi="宋体" w:cs="宋体"/>
          <w:sz w:val="24"/>
          <w:szCs w:val="24"/>
          <w:lang w:eastAsia="zh-CN"/>
        </w:rPr>
        <w:t>3</w:t>
      </w:r>
      <w:r>
        <w:rPr>
          <w:rFonts w:ascii="宋体" w:hAnsi="宋体" w:cs="宋体"/>
          <w:sz w:val="24"/>
          <w:szCs w:val="24"/>
        </w:rPr>
        <w:t>、进场材料报验：进场材料报验。提供进场材料报验和相关主材合格证等。（1）本工程所采用的主要建筑材料、装修材料、设备、安装材料等到货时，承包人应向发包人提交《供应材料设备一览表》，填报如下数据：材料设备名称、规格型号、品牌、数量，附送产品合格证（复印件）。（2）发包人有权对承包方提供的检测报告或进场产品送相关检测机构进行检测。若检测结果与承包人提供的检测报告不符，检测费由承包方承担。（3）若实施材料不符，以双方可协商按质论价，协商不成的，采购人可拒付该部分款项，成交人不得破坏现场。</w:t>
      </w:r>
      <w:r>
        <w:rPr>
          <w:rFonts w:ascii="宋体" w:hAnsi="宋体" w:cs="宋体"/>
          <w:sz w:val="24"/>
          <w:szCs w:val="24"/>
          <w:lang w:eastAsia="zh-CN"/>
        </w:rPr>
        <w:t>（4）进场材料须经采购人确认后方可进场。</w:t>
      </w:r>
    </w:p>
    <w:p w14:paraId="3A72D69E">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、合同条款</w:t>
      </w:r>
    </w:p>
    <w:p w14:paraId="06A98862">
      <w:pPr>
        <w:pStyle w:val="26"/>
        <w:spacing w:line="400" w:lineRule="exact"/>
        <w:ind w:firstLine="480"/>
        <w:rPr>
          <w:rFonts w:ascii="宋体" w:hAnsi="宋体" w:cs="宋体"/>
          <w:sz w:val="24"/>
          <w:szCs w:val="24"/>
        </w:rPr>
      </w:pPr>
      <w:r>
        <w:rPr>
          <w:rFonts w:ascii="宋体" w:hAnsi="宋体" w:cs="宋体"/>
          <w:sz w:val="24"/>
          <w:szCs w:val="24"/>
        </w:rPr>
        <w:t>合同内项目单价为一次不变价，不受市场价格因素影响。工程量按实结算。工程竣工后，应提供编制的工程决算书予采购人，经审计完毕，由双方商讨确认后根据合同规定付款方式进行付款。如成交人在实际施工过程中出现数量、材质更替以及工程量增加等情况，应及时征求采购人意见，并在得到采购人签证确认后方可施工，否则由此所造成的一切损失由成交人承担。施工存在变更，遵循下列原则：</w:t>
      </w:r>
    </w:p>
    <w:p w14:paraId="21EF3CA2">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.1工程量清单内项目：按成交人投标时所报的该细目综合单价计算。</w:t>
      </w:r>
    </w:p>
    <w:p w14:paraId="68612F07">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2工程量清单外项目：①其综合单价按本工程预算价编审依据的定额等有关计价规定计算后，按成交人投标时投标报价与招标工程预算价的同等降低幅度计算该项目的综合单价。②若无定额标准时，成交人与采购人驻派代表或监理工程师协商并报采购人批准后确定。如双方不能达成一致的，双方可提请工程所在地工程造价管理机构进行咨询或按合同约定的争议或纠纷解决程序办理。</w:t>
      </w:r>
    </w:p>
    <w:p w14:paraId="43B6A320">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.3 变更导致的合同价款调整还应符合《福建省房屋建筑和市政基础设施工程价款结算暂行办法》（闽财建[2007]157号文）的规定。工程量清单中的单个项目工程量变动幅度超过±30%并导致合同总价变动幅度超过±1%的，工程量增加部分或减少后剩余部分可以重新协商确定综合单价。</w:t>
      </w:r>
    </w:p>
    <w:p w14:paraId="63152257">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.4工程款项支付之前，成交人应向采购人</w:t>
      </w:r>
      <w:r>
        <w:rPr>
          <w:rFonts w:ascii="宋体" w:hAnsi="宋体" w:cs="宋体"/>
          <w:sz w:val="24"/>
          <w:szCs w:val="24"/>
          <w:lang w:eastAsia="zh-CN"/>
        </w:rPr>
        <w:t>开具</w:t>
      </w:r>
      <w:r>
        <w:rPr>
          <w:rFonts w:ascii="宋体" w:hAnsi="宋体" w:cs="宋体"/>
          <w:sz w:val="24"/>
          <w:szCs w:val="24"/>
        </w:rPr>
        <w:t>相应金额的税务发票，否则，采购人有权拒绝支付。</w:t>
      </w:r>
    </w:p>
    <w:p w14:paraId="3B761A79">
      <w:pPr>
        <w:pStyle w:val="26"/>
        <w:spacing w:line="400" w:lineRule="exact"/>
        <w:ind w:firstLine="480"/>
        <w:rPr>
          <w:rFonts w:ascii="宋体" w:hAnsi="宋体" w:cs="宋体"/>
          <w:sz w:val="24"/>
          <w:szCs w:val="24"/>
        </w:rPr>
      </w:pPr>
    </w:p>
    <w:p w14:paraId="4CEAA453">
      <w:pPr>
        <w:pStyle w:val="26"/>
        <w:spacing w:line="400" w:lineRule="exact"/>
        <w:ind w:firstLine="480"/>
        <w:rPr>
          <w:rFonts w:ascii="宋体" w:hAnsi="宋体" w:cs="宋体"/>
          <w:sz w:val="24"/>
          <w:szCs w:val="24"/>
        </w:rPr>
      </w:pPr>
      <w:r>
        <w:rPr>
          <w:rFonts w:ascii="宋体" w:hAnsi="宋体" w:cs="宋体"/>
          <w:b/>
          <w:bCs/>
          <w:sz w:val="24"/>
          <w:szCs w:val="24"/>
          <w:shd w:val="clear" w:color="auto" w:fill="FFFFFF"/>
          <w:lang w:eastAsia="zh-CN"/>
        </w:rPr>
        <w:t>5</w:t>
      </w:r>
      <w:r>
        <w:rPr>
          <w:rFonts w:ascii="宋体" w:hAnsi="宋体" w:cs="宋体"/>
          <w:b/>
          <w:bCs/>
          <w:sz w:val="24"/>
          <w:szCs w:val="24"/>
          <w:shd w:val="clear" w:color="auto" w:fill="FFFFFF"/>
        </w:rPr>
        <w:t>、供应商需做出工程施工安全承诺书，内容如下</w:t>
      </w:r>
      <w:r>
        <w:rPr>
          <w:rFonts w:ascii="宋体" w:hAnsi="宋体" w:cs="宋体"/>
          <w:sz w:val="24"/>
          <w:szCs w:val="24"/>
          <w:shd w:val="clear" w:color="auto" w:fill="FFFFFF"/>
        </w:rPr>
        <w:t>：</w:t>
      </w:r>
    </w:p>
    <w:p w14:paraId="3FDDB960">
      <w:pPr>
        <w:pStyle w:val="26"/>
        <w:spacing w:line="400" w:lineRule="exact"/>
        <w:ind w:firstLine="482"/>
        <w:jc w:val="center"/>
        <w:rPr>
          <w:rFonts w:ascii="宋体" w:hAnsi="宋体" w:cs="宋体"/>
          <w:b/>
          <w:sz w:val="24"/>
          <w:szCs w:val="24"/>
        </w:rPr>
      </w:pPr>
    </w:p>
    <w:p w14:paraId="7AEDA59A">
      <w:pPr>
        <w:pStyle w:val="26"/>
        <w:spacing w:line="400" w:lineRule="exact"/>
        <w:ind w:firstLine="482"/>
        <w:jc w:val="center"/>
        <w:rPr>
          <w:rFonts w:ascii="宋体" w:hAnsi="宋体" w:cs="宋体"/>
          <w:sz w:val="24"/>
          <w:szCs w:val="24"/>
        </w:rPr>
      </w:pPr>
      <w:r>
        <w:rPr>
          <w:rFonts w:ascii="宋体" w:hAnsi="宋体" w:cs="宋体"/>
          <w:b/>
          <w:sz w:val="24"/>
          <w:szCs w:val="24"/>
        </w:rPr>
        <w:t>工程施工安全承诺书</w:t>
      </w:r>
    </w:p>
    <w:p w14:paraId="0C72D05C">
      <w:pPr>
        <w:pStyle w:val="26"/>
        <w:spacing w:line="400" w:lineRule="exact"/>
        <w:jc w:val="both"/>
        <w:rPr>
          <w:rFonts w:ascii="宋体" w:hAnsi="宋体" w:cs="宋体"/>
          <w:sz w:val="24"/>
          <w:szCs w:val="24"/>
        </w:rPr>
      </w:pPr>
      <w:r>
        <w:rPr>
          <w:rFonts w:ascii="宋体" w:hAnsi="宋体" w:cs="宋体"/>
          <w:sz w:val="24"/>
          <w:szCs w:val="24"/>
        </w:rPr>
        <w:t>福建省肿瘤医院:</w:t>
      </w:r>
    </w:p>
    <w:p w14:paraId="1861FF81">
      <w:pPr>
        <w:pStyle w:val="26"/>
        <w:spacing w:line="400" w:lineRule="exact"/>
        <w:ind w:firstLine="480"/>
        <w:jc w:val="both"/>
        <w:rPr>
          <w:rFonts w:ascii="宋体" w:hAnsi="宋体" w:cs="宋体"/>
          <w:sz w:val="24"/>
          <w:szCs w:val="24"/>
        </w:rPr>
      </w:pPr>
      <w:r>
        <w:rPr>
          <w:rFonts w:ascii="宋体" w:hAnsi="宋体" w:cs="宋体"/>
          <w:sz w:val="24"/>
          <w:szCs w:val="24"/>
        </w:rPr>
        <w:t>为了确保在贵院施工期间安全无事故，特向贵院的安全管理工作作如下承诺:</w:t>
      </w:r>
    </w:p>
    <w:p w14:paraId="1DC021F3">
      <w:pPr>
        <w:pStyle w:val="26"/>
        <w:spacing w:line="400" w:lineRule="exact"/>
        <w:ind w:firstLine="480"/>
        <w:jc w:val="both"/>
        <w:rPr>
          <w:rFonts w:ascii="宋体" w:hAnsi="宋体" w:cs="宋体"/>
          <w:sz w:val="24"/>
          <w:szCs w:val="24"/>
        </w:rPr>
      </w:pPr>
      <w:r>
        <w:rPr>
          <w:rFonts w:ascii="宋体" w:hAnsi="宋体" w:cs="宋体"/>
          <w:sz w:val="24"/>
          <w:szCs w:val="24"/>
        </w:rPr>
        <w:t>一、在工程施工期间，发生的所有与工程施工有关的安全事故由我单位承担全部责任。</w:t>
      </w:r>
    </w:p>
    <w:p w14:paraId="22E68B0D">
      <w:pPr>
        <w:pStyle w:val="26"/>
        <w:spacing w:line="400" w:lineRule="exact"/>
        <w:ind w:firstLine="480"/>
        <w:jc w:val="both"/>
        <w:rPr>
          <w:rFonts w:ascii="宋体" w:hAnsi="宋体" w:cs="宋体"/>
          <w:sz w:val="24"/>
          <w:szCs w:val="24"/>
        </w:rPr>
      </w:pPr>
      <w:r>
        <w:rPr>
          <w:rFonts w:ascii="宋体" w:hAnsi="宋体" w:cs="宋体"/>
          <w:sz w:val="24"/>
          <w:szCs w:val="24"/>
        </w:rPr>
        <w:t>二、指定施工安全监督员，负责施工现场的安全检查和安全监督，并与贵院</w:t>
      </w:r>
      <w:r>
        <w:rPr>
          <w:rFonts w:ascii="宋体" w:hAnsi="宋体" w:cs="宋体"/>
          <w:sz w:val="24"/>
          <w:szCs w:val="24"/>
          <w:lang w:eastAsia="zh-CN"/>
        </w:rPr>
        <w:t>总务科和保卫科等</w:t>
      </w:r>
      <w:r>
        <w:rPr>
          <w:rFonts w:ascii="宋体" w:hAnsi="宋体" w:cs="宋体"/>
          <w:sz w:val="24"/>
          <w:szCs w:val="24"/>
        </w:rPr>
        <w:t>保持密切联系。</w:t>
      </w:r>
    </w:p>
    <w:p w14:paraId="10EB3D9C">
      <w:pPr>
        <w:pStyle w:val="26"/>
        <w:spacing w:line="400" w:lineRule="exact"/>
        <w:ind w:firstLine="480"/>
        <w:jc w:val="both"/>
        <w:rPr>
          <w:rFonts w:ascii="宋体" w:hAnsi="宋体" w:cs="宋体"/>
          <w:sz w:val="24"/>
          <w:szCs w:val="24"/>
        </w:rPr>
      </w:pPr>
      <w:r>
        <w:rPr>
          <w:rFonts w:ascii="宋体" w:hAnsi="宋体" w:cs="宋体"/>
          <w:sz w:val="24"/>
          <w:szCs w:val="24"/>
        </w:rPr>
        <w:t>三、负责施工现场的安全生产管理工作，做好施工现场的安全监督，做好对施工人员安全生产教育和安全生产措施的落实，确保施工人员持有效证件上岗。电焊工需进行报备，并提供电焊证报备，动火作业需提前向我院保卫科进行报备。</w:t>
      </w:r>
    </w:p>
    <w:p w14:paraId="44F91ACB">
      <w:pPr>
        <w:pStyle w:val="26"/>
        <w:spacing w:line="400" w:lineRule="exact"/>
        <w:ind w:firstLine="480"/>
        <w:jc w:val="both"/>
        <w:rPr>
          <w:rFonts w:ascii="宋体" w:hAnsi="宋体" w:cs="宋体"/>
          <w:sz w:val="24"/>
          <w:szCs w:val="24"/>
        </w:rPr>
      </w:pPr>
      <w:r>
        <w:rPr>
          <w:rFonts w:ascii="宋体" w:hAnsi="宋体" w:cs="宋体"/>
          <w:sz w:val="24"/>
          <w:szCs w:val="24"/>
        </w:rPr>
        <w:t>四、负责施工现场的安全防护工作，设立相关的安全警示等标识。安全防护的器械、物品等，与施工队同时进场，在对施工现场作防护措施、警示后才组织施工。</w:t>
      </w:r>
    </w:p>
    <w:p w14:paraId="05DE3030">
      <w:pPr>
        <w:pStyle w:val="26"/>
        <w:spacing w:line="400" w:lineRule="exact"/>
        <w:ind w:firstLine="480"/>
        <w:jc w:val="both"/>
        <w:rPr>
          <w:rFonts w:ascii="宋体" w:hAnsi="宋体" w:cs="宋体"/>
          <w:sz w:val="24"/>
          <w:szCs w:val="24"/>
        </w:rPr>
      </w:pPr>
      <w:r>
        <w:rPr>
          <w:rFonts w:ascii="宋体" w:hAnsi="宋体" w:cs="宋体"/>
          <w:sz w:val="24"/>
          <w:szCs w:val="24"/>
        </w:rPr>
        <w:t>五、施工队进场时，应制定相关防火措施，并配备必要的防火设备和用具;注意现场临时用电的安全使用，并安排有资质的电工负责。</w:t>
      </w:r>
    </w:p>
    <w:p w14:paraId="2E21B9B3">
      <w:pPr>
        <w:pStyle w:val="26"/>
        <w:spacing w:line="400" w:lineRule="exact"/>
        <w:ind w:firstLine="480"/>
        <w:jc w:val="both"/>
        <w:rPr>
          <w:rFonts w:ascii="宋体" w:hAnsi="宋体" w:cs="宋体"/>
          <w:sz w:val="24"/>
          <w:szCs w:val="24"/>
        </w:rPr>
      </w:pPr>
      <w:r>
        <w:rPr>
          <w:rFonts w:ascii="宋体" w:hAnsi="宋体" w:cs="宋体"/>
          <w:sz w:val="24"/>
          <w:szCs w:val="24"/>
        </w:rPr>
        <w:t>六、在施工期间，配合贵院做好办公场地秩序和安全管理工作，服从相关管理员的监管，在做好相应安全措施后，经贵院同意方可组织施工。</w:t>
      </w:r>
    </w:p>
    <w:p w14:paraId="5B869C17">
      <w:pPr>
        <w:pStyle w:val="26"/>
        <w:spacing w:line="400" w:lineRule="exact"/>
        <w:ind w:firstLine="480"/>
        <w:jc w:val="both"/>
        <w:rPr>
          <w:rFonts w:ascii="宋体" w:hAnsi="宋体" w:cs="宋体"/>
          <w:sz w:val="24"/>
          <w:szCs w:val="24"/>
        </w:rPr>
      </w:pPr>
      <w:r>
        <w:rPr>
          <w:rFonts w:ascii="宋体" w:hAnsi="宋体" w:cs="宋体"/>
          <w:sz w:val="24"/>
          <w:szCs w:val="24"/>
        </w:rPr>
        <w:t>七、施工完毕后，我单位负责施工现场的清理和恢复性工作，确保办公场地的安全和正常运作。</w:t>
      </w:r>
    </w:p>
    <w:p w14:paraId="5D410F0F">
      <w:pPr>
        <w:pStyle w:val="26"/>
        <w:spacing w:line="400" w:lineRule="exact"/>
        <w:ind w:firstLine="480"/>
        <w:jc w:val="both"/>
        <w:rPr>
          <w:rFonts w:ascii="宋体" w:hAnsi="宋体" w:cs="宋体"/>
          <w:sz w:val="24"/>
          <w:szCs w:val="24"/>
        </w:rPr>
      </w:pPr>
      <w:r>
        <w:rPr>
          <w:rFonts w:ascii="宋体" w:hAnsi="宋体" w:cs="宋体"/>
          <w:sz w:val="24"/>
          <w:szCs w:val="24"/>
        </w:rPr>
        <w:t>八、施工过程中，切实做好安全生产工作，按相关安全生产工作规范施工。否则，若发生安全生产事故，所有责任由我单位自行承担。</w:t>
      </w:r>
    </w:p>
    <w:p w14:paraId="66F4F71B">
      <w:pPr>
        <w:pStyle w:val="26"/>
        <w:spacing w:line="400" w:lineRule="exact"/>
        <w:ind w:firstLine="480"/>
        <w:jc w:val="both"/>
        <w:rPr>
          <w:rFonts w:ascii="宋体" w:hAnsi="宋体" w:cs="宋体"/>
          <w:sz w:val="24"/>
          <w:szCs w:val="24"/>
        </w:rPr>
      </w:pPr>
      <w:r>
        <w:rPr>
          <w:rFonts w:ascii="宋体" w:hAnsi="宋体" w:cs="宋体"/>
          <w:sz w:val="24"/>
          <w:szCs w:val="24"/>
        </w:rPr>
        <w:t xml:space="preserve">    特此承诺。</w:t>
      </w:r>
    </w:p>
    <w:p w14:paraId="0162278D">
      <w:pPr>
        <w:pStyle w:val="26"/>
        <w:spacing w:line="400" w:lineRule="exact"/>
        <w:outlineLvl w:val="2"/>
        <w:rPr>
          <w:rFonts w:ascii="宋体" w:hAnsi="宋体" w:cs="宋体"/>
          <w:b/>
          <w:sz w:val="24"/>
          <w:szCs w:val="24"/>
        </w:rPr>
      </w:pPr>
    </w:p>
    <w:p w14:paraId="72C01BA5">
      <w:pPr>
        <w:pStyle w:val="26"/>
        <w:spacing w:line="400" w:lineRule="exact"/>
        <w:outlineLvl w:val="2"/>
        <w:rPr>
          <w:rFonts w:ascii="宋体" w:hAnsi="宋体" w:cs="宋体"/>
          <w:b/>
          <w:sz w:val="24"/>
          <w:szCs w:val="24"/>
        </w:rPr>
      </w:pPr>
    </w:p>
    <w:p w14:paraId="133C442A">
      <w:pPr>
        <w:pStyle w:val="26"/>
        <w:spacing w:line="400" w:lineRule="exact"/>
        <w:outlineLvl w:val="2"/>
        <w:rPr>
          <w:rFonts w:ascii="宋体" w:hAnsi="宋体" w:cs="宋体"/>
          <w:b/>
          <w:sz w:val="24"/>
          <w:szCs w:val="24"/>
        </w:rPr>
      </w:pPr>
    </w:p>
    <w:p w14:paraId="7C0F5B53">
      <w:pPr>
        <w:pStyle w:val="26"/>
        <w:spacing w:line="400" w:lineRule="exact"/>
        <w:outlineLvl w:val="2"/>
        <w:rPr>
          <w:rFonts w:ascii="宋体" w:hAnsi="宋体" w:cs="宋体"/>
          <w:b/>
          <w:sz w:val="24"/>
          <w:szCs w:val="24"/>
        </w:rPr>
      </w:pPr>
    </w:p>
    <w:p w14:paraId="65120EE7">
      <w:pPr>
        <w:pStyle w:val="26"/>
        <w:spacing w:line="400" w:lineRule="exact"/>
        <w:outlineLvl w:val="2"/>
        <w:rPr>
          <w:rFonts w:ascii="宋体" w:hAnsi="宋体" w:cs="宋体"/>
          <w:b/>
          <w:sz w:val="24"/>
          <w:szCs w:val="24"/>
        </w:rPr>
      </w:pPr>
    </w:p>
    <w:p w14:paraId="777559C9">
      <w:pPr>
        <w:pStyle w:val="26"/>
        <w:spacing w:line="400" w:lineRule="exact"/>
        <w:outlineLvl w:val="2"/>
        <w:rPr>
          <w:rFonts w:ascii="宋体" w:hAnsi="宋体" w:cs="宋体"/>
          <w:b/>
          <w:sz w:val="24"/>
          <w:szCs w:val="24"/>
        </w:rPr>
      </w:pPr>
    </w:p>
    <w:p w14:paraId="0209AD5E">
      <w:pPr>
        <w:pStyle w:val="26"/>
        <w:spacing w:line="400" w:lineRule="exact"/>
        <w:outlineLvl w:val="2"/>
        <w:rPr>
          <w:rFonts w:ascii="宋体" w:hAnsi="宋体" w:cs="宋体"/>
          <w:b/>
          <w:sz w:val="24"/>
          <w:szCs w:val="24"/>
        </w:rPr>
      </w:pPr>
    </w:p>
    <w:p w14:paraId="2741171A">
      <w:pPr>
        <w:pStyle w:val="26"/>
        <w:spacing w:line="400" w:lineRule="exact"/>
        <w:outlineLvl w:val="2"/>
        <w:rPr>
          <w:rFonts w:ascii="宋体" w:hAnsi="宋体" w:cs="宋体"/>
          <w:sz w:val="24"/>
          <w:szCs w:val="24"/>
        </w:rPr>
      </w:pPr>
      <w:r>
        <w:rPr>
          <w:rFonts w:ascii="宋体" w:hAnsi="宋体" w:cs="宋体"/>
          <w:b/>
          <w:sz w:val="24"/>
          <w:szCs w:val="24"/>
        </w:rPr>
        <w:t>四、其他事项</w:t>
      </w:r>
    </w:p>
    <w:p w14:paraId="37B13716">
      <w:pPr>
        <w:pStyle w:val="26"/>
        <w:spacing w:line="400" w:lineRule="exact"/>
        <w:ind w:firstLine="480" w:firstLineChars="200"/>
        <w:rPr>
          <w:rFonts w:ascii="宋体" w:hAnsi="宋体" w:cs="宋体"/>
          <w:sz w:val="24"/>
          <w:szCs w:val="24"/>
          <w:lang w:eastAsia="zh-CN"/>
        </w:rPr>
      </w:pPr>
      <w:r>
        <w:rPr>
          <w:rFonts w:ascii="宋体" w:hAnsi="宋体" w:cs="宋体"/>
          <w:sz w:val="24"/>
          <w:szCs w:val="24"/>
        </w:rPr>
        <w:t>1</w:t>
      </w:r>
      <w:r>
        <w:rPr>
          <w:rFonts w:ascii="宋体" w:hAnsi="宋体" w:cs="宋体"/>
          <w:sz w:val="24"/>
          <w:szCs w:val="24"/>
          <w:lang w:eastAsia="zh-CN"/>
        </w:rPr>
        <w:t>、</w:t>
      </w:r>
      <w:r>
        <w:rPr>
          <w:rFonts w:ascii="宋体" w:hAnsi="宋体" w:cs="宋体"/>
          <w:sz w:val="24"/>
          <w:szCs w:val="24"/>
        </w:rPr>
        <w:t xml:space="preserve">除磋商文件另有规定外，若出现有关法律、法规和规章有强制性规定但招标文件未列明的情形，则供应商应按照有关法律、法规和规章强制性规定执行。 </w:t>
      </w:r>
      <w:r>
        <w:rPr>
          <w:rFonts w:ascii="宋体" w:hAnsi="宋体" w:cs="宋体"/>
          <w:sz w:val="24"/>
          <w:szCs w:val="24"/>
          <w:lang w:eastAsia="zh-CN"/>
        </w:rPr>
        <w:t xml:space="preserve">  </w:t>
      </w:r>
    </w:p>
    <w:p w14:paraId="4124CF89">
      <w:pPr>
        <w:pStyle w:val="26"/>
        <w:spacing w:line="400" w:lineRule="exact"/>
        <w:ind w:firstLine="480" w:firstLineChars="200"/>
        <w:rPr>
          <w:rFonts w:ascii="宋体" w:hAnsi="宋体" w:cs="宋体"/>
          <w:sz w:val="24"/>
          <w:szCs w:val="24"/>
        </w:rPr>
      </w:pPr>
      <w:r>
        <w:rPr>
          <w:rFonts w:ascii="宋体" w:hAnsi="宋体" w:cs="宋体"/>
          <w:sz w:val="24"/>
          <w:szCs w:val="24"/>
        </w:rPr>
        <w:t>2</w:t>
      </w:r>
      <w:r>
        <w:rPr>
          <w:rFonts w:ascii="宋体" w:hAnsi="宋体" w:cs="宋体"/>
          <w:sz w:val="24"/>
          <w:szCs w:val="24"/>
          <w:lang w:eastAsia="zh-CN"/>
        </w:rPr>
        <w:t>、</w:t>
      </w:r>
      <w:r>
        <w:rPr>
          <w:rFonts w:ascii="宋体" w:hAnsi="宋体" w:cs="宋体"/>
          <w:sz w:val="24"/>
          <w:szCs w:val="24"/>
        </w:rPr>
        <w:t>本项目不允许成交人以任何名义和理由在</w:t>
      </w:r>
      <w:r>
        <w:rPr>
          <w:rFonts w:ascii="宋体" w:hAnsi="宋体" w:cs="宋体"/>
          <w:sz w:val="24"/>
          <w:szCs w:val="24"/>
          <w:lang w:eastAsia="zh-CN"/>
        </w:rPr>
        <w:t>成交</w:t>
      </w:r>
      <w:r>
        <w:rPr>
          <w:rFonts w:ascii="宋体" w:hAnsi="宋体" w:cs="宋体"/>
          <w:sz w:val="24"/>
          <w:szCs w:val="24"/>
        </w:rPr>
        <w:t>后将成交项目的主体、非主体、关键性工作、非关键性工作进行转包、分包。</w:t>
      </w:r>
    </w:p>
    <w:p w14:paraId="76A8702C">
      <w:pPr>
        <w:pStyle w:val="26"/>
        <w:spacing w:line="400" w:lineRule="exact"/>
        <w:ind w:firstLine="480" w:firstLineChars="200"/>
        <w:rPr>
          <w:rFonts w:ascii="宋体" w:hAnsi="宋体" w:cs="宋体"/>
          <w:sz w:val="24"/>
          <w:szCs w:val="24"/>
        </w:rPr>
      </w:pPr>
      <w:r>
        <w:rPr>
          <w:rFonts w:ascii="宋体" w:hAnsi="宋体" w:cs="宋体"/>
          <w:sz w:val="24"/>
          <w:szCs w:val="24"/>
          <w:lang w:eastAsia="zh-CN"/>
        </w:rPr>
        <w:t>3、</w:t>
      </w:r>
      <w:r>
        <w:rPr>
          <w:rFonts w:ascii="宋体" w:hAnsi="宋体" w:cs="宋体"/>
          <w:sz w:val="24"/>
          <w:szCs w:val="24"/>
        </w:rPr>
        <w:t>本</w:t>
      </w:r>
      <w:r>
        <w:rPr>
          <w:rFonts w:ascii="宋体" w:hAnsi="宋体" w:cs="宋体"/>
          <w:sz w:val="24"/>
          <w:szCs w:val="24"/>
          <w:lang w:eastAsia="zh-CN"/>
        </w:rPr>
        <w:t>磋商</w:t>
      </w:r>
      <w:r>
        <w:rPr>
          <w:rFonts w:ascii="宋体" w:hAnsi="宋体" w:cs="宋体"/>
          <w:sz w:val="24"/>
          <w:szCs w:val="24"/>
        </w:rPr>
        <w:t xml:space="preserve">文件未明确的其它约定事项或条款，待采购人与成交人签订合同时，由双方协商订立。 </w:t>
      </w:r>
    </w:p>
    <w:p w14:paraId="7B3E800E">
      <w:pPr>
        <w:pStyle w:val="26"/>
        <w:spacing w:line="400" w:lineRule="exact"/>
        <w:ind w:firstLine="480" w:firstLineChars="200"/>
        <w:rPr>
          <w:rFonts w:ascii="宋体" w:hAnsi="宋体" w:cs="宋体"/>
          <w:sz w:val="24"/>
          <w:szCs w:val="24"/>
        </w:rPr>
      </w:pPr>
    </w:p>
    <w:p w14:paraId="49A8AFB4">
      <w:pPr>
        <w:pStyle w:val="11"/>
        <w:spacing w:before="0" w:beforeAutospacing="0" w:after="0" w:afterAutospacing="0" w:line="315" w:lineRule="atLeast"/>
        <w:ind w:firstLine="480" w:firstLineChars="200"/>
        <w:rPr>
          <w:rFonts w:hint="eastAsia"/>
          <w:highlight w:val="yellow"/>
          <w:lang w:val="en-US" w:eastAsia="zh-CN"/>
        </w:rPr>
      </w:pPr>
    </w:p>
    <w:p w14:paraId="5B47C4B2">
      <w:pPr>
        <w:pStyle w:val="11"/>
        <w:spacing w:before="0" w:beforeAutospacing="0" w:after="0" w:afterAutospacing="0" w:line="315" w:lineRule="atLeast"/>
        <w:ind w:firstLine="480" w:firstLineChars="200"/>
        <w:rPr>
          <w:rFonts w:hint="eastAsia"/>
          <w:highlight w:val="yellow"/>
          <w:lang w:val="en-US" w:eastAsia="zh-CN"/>
        </w:rPr>
      </w:pPr>
    </w:p>
    <w:p w14:paraId="2376CFD7">
      <w:pPr>
        <w:pStyle w:val="11"/>
        <w:spacing w:before="0" w:beforeAutospacing="0" w:after="0" w:afterAutospacing="0" w:line="315" w:lineRule="atLeast"/>
        <w:ind w:firstLine="480" w:firstLineChars="200"/>
        <w:rPr>
          <w:rFonts w:hint="eastAsia"/>
          <w:highlight w:val="yellow"/>
          <w:lang w:val="en-US" w:eastAsia="zh-CN"/>
        </w:rPr>
      </w:pPr>
    </w:p>
    <w:p w14:paraId="7F4AA9C8">
      <w:pPr>
        <w:pStyle w:val="11"/>
        <w:spacing w:before="0" w:beforeAutospacing="0" w:after="0" w:afterAutospacing="0" w:line="315" w:lineRule="atLeast"/>
        <w:ind w:firstLine="480" w:firstLineChars="200"/>
        <w:rPr>
          <w:rFonts w:hint="eastAsia"/>
          <w:highlight w:val="yellow"/>
          <w:lang w:val="en-US" w:eastAsia="zh-CN"/>
        </w:rPr>
      </w:pPr>
    </w:p>
    <w:p w14:paraId="63091228">
      <w:pPr>
        <w:pStyle w:val="11"/>
        <w:spacing w:before="0" w:beforeAutospacing="0" w:after="0" w:afterAutospacing="0" w:line="315" w:lineRule="atLeast"/>
        <w:ind w:firstLine="480" w:firstLineChars="200"/>
        <w:rPr>
          <w:rFonts w:hint="eastAsia"/>
          <w:highlight w:val="yellow"/>
          <w:lang w:val="en-US" w:eastAsia="zh-CN"/>
        </w:rPr>
      </w:pPr>
    </w:p>
    <w:p w14:paraId="64C693DD">
      <w:pPr>
        <w:pStyle w:val="11"/>
        <w:spacing w:before="0" w:beforeAutospacing="0" w:after="0" w:afterAutospacing="0" w:line="315" w:lineRule="atLeast"/>
        <w:ind w:firstLine="480" w:firstLineChars="200"/>
        <w:rPr>
          <w:rFonts w:hint="eastAsia"/>
          <w:highlight w:val="yellow"/>
          <w:lang w:val="en-US" w:eastAsia="zh-CN"/>
        </w:rPr>
      </w:pPr>
    </w:p>
    <w:p w14:paraId="60C60172">
      <w:pPr>
        <w:pStyle w:val="11"/>
        <w:spacing w:before="0" w:beforeAutospacing="0" w:after="0" w:afterAutospacing="0" w:line="315" w:lineRule="atLeast"/>
        <w:ind w:firstLine="480" w:firstLineChars="200"/>
        <w:rPr>
          <w:rFonts w:hint="eastAsia"/>
          <w:highlight w:val="yellow"/>
          <w:lang w:val="en-US" w:eastAsia="zh-CN"/>
        </w:rPr>
      </w:pPr>
    </w:p>
    <w:p w14:paraId="338EAB8B">
      <w:pPr>
        <w:pStyle w:val="11"/>
        <w:spacing w:before="0" w:beforeAutospacing="0" w:after="0" w:afterAutospacing="0" w:line="315" w:lineRule="atLeast"/>
        <w:ind w:firstLine="480" w:firstLineChars="200"/>
        <w:rPr>
          <w:rFonts w:hint="eastAsia"/>
          <w:highlight w:val="yellow"/>
          <w:lang w:val="en-US" w:eastAsia="zh-CN"/>
        </w:rPr>
      </w:pPr>
    </w:p>
    <w:p w14:paraId="2B6243F6">
      <w:pPr>
        <w:pStyle w:val="11"/>
        <w:spacing w:before="0" w:beforeAutospacing="0" w:after="0" w:afterAutospacing="0" w:line="315" w:lineRule="atLeast"/>
        <w:ind w:firstLine="480" w:firstLineChars="200"/>
        <w:rPr>
          <w:rFonts w:hint="eastAsia"/>
          <w:highlight w:val="yellow"/>
          <w:lang w:val="en-US" w:eastAsia="zh-CN"/>
        </w:rPr>
      </w:pPr>
    </w:p>
    <w:p w14:paraId="48C0F7D3">
      <w:pPr>
        <w:pStyle w:val="11"/>
        <w:spacing w:before="0" w:beforeAutospacing="0" w:after="0" w:afterAutospacing="0" w:line="315" w:lineRule="atLeast"/>
        <w:ind w:firstLine="480" w:firstLineChars="200"/>
        <w:rPr>
          <w:rFonts w:hint="eastAsia"/>
          <w:highlight w:val="yellow"/>
          <w:lang w:val="en-US" w:eastAsia="zh-CN"/>
        </w:rPr>
      </w:pPr>
    </w:p>
    <w:p w14:paraId="7127EAEF">
      <w:pPr>
        <w:pStyle w:val="11"/>
        <w:spacing w:before="0" w:beforeAutospacing="0" w:after="0" w:afterAutospacing="0" w:line="315" w:lineRule="atLeast"/>
        <w:ind w:firstLine="480" w:firstLineChars="200"/>
        <w:rPr>
          <w:rFonts w:hint="eastAsia"/>
          <w:highlight w:val="yellow"/>
          <w:lang w:val="en-US" w:eastAsia="zh-CN"/>
        </w:rPr>
      </w:pPr>
    </w:p>
    <w:p w14:paraId="62A566D4">
      <w:pPr>
        <w:pStyle w:val="11"/>
        <w:spacing w:before="0" w:beforeAutospacing="0" w:after="0" w:afterAutospacing="0" w:line="315" w:lineRule="atLeast"/>
        <w:ind w:firstLine="480" w:firstLineChars="200"/>
        <w:rPr>
          <w:rFonts w:hint="eastAsia"/>
          <w:highlight w:val="yellow"/>
          <w:lang w:val="en-US" w:eastAsia="zh-CN"/>
        </w:rPr>
      </w:pPr>
    </w:p>
    <w:p w14:paraId="321A5CBE">
      <w:pPr>
        <w:pStyle w:val="11"/>
        <w:spacing w:before="0" w:beforeAutospacing="0" w:after="0" w:afterAutospacing="0" w:line="315" w:lineRule="atLeast"/>
        <w:ind w:firstLine="480" w:firstLineChars="200"/>
        <w:rPr>
          <w:rFonts w:hint="eastAsia"/>
          <w:highlight w:val="yellow"/>
          <w:lang w:val="en-US" w:eastAsia="zh-CN"/>
        </w:rPr>
      </w:pPr>
    </w:p>
    <w:p w14:paraId="1ADA0D2D">
      <w:pPr>
        <w:pStyle w:val="11"/>
        <w:spacing w:before="0" w:beforeAutospacing="0" w:after="0" w:afterAutospacing="0" w:line="315" w:lineRule="atLeast"/>
        <w:ind w:firstLine="480" w:firstLineChars="200"/>
        <w:rPr>
          <w:rFonts w:hint="eastAsia"/>
          <w:highlight w:val="yellow"/>
          <w:lang w:val="en-US" w:eastAsia="zh-CN"/>
        </w:rPr>
      </w:pPr>
    </w:p>
    <w:p w14:paraId="0A62CD6A">
      <w:pPr>
        <w:pStyle w:val="11"/>
        <w:spacing w:before="0" w:beforeAutospacing="0" w:after="0" w:afterAutospacing="0" w:line="315" w:lineRule="atLeast"/>
        <w:ind w:firstLine="480" w:firstLineChars="200"/>
        <w:rPr>
          <w:rFonts w:hint="eastAsia"/>
          <w:highlight w:val="yellow"/>
          <w:lang w:val="en-US" w:eastAsia="zh-CN"/>
        </w:rPr>
      </w:pPr>
    </w:p>
    <w:p w14:paraId="42D48047">
      <w:pPr>
        <w:pStyle w:val="11"/>
        <w:spacing w:before="0" w:beforeAutospacing="0" w:after="0" w:afterAutospacing="0" w:line="315" w:lineRule="atLeast"/>
        <w:ind w:firstLine="480" w:firstLineChars="200"/>
        <w:rPr>
          <w:rFonts w:hint="eastAsia"/>
          <w:highlight w:val="yellow"/>
          <w:lang w:val="en-US" w:eastAsia="zh-CN"/>
        </w:rPr>
      </w:pPr>
    </w:p>
    <w:p w14:paraId="7BB5BDC4">
      <w:pPr>
        <w:pStyle w:val="11"/>
        <w:spacing w:before="0" w:beforeAutospacing="0" w:after="0" w:afterAutospacing="0" w:line="315" w:lineRule="atLeast"/>
        <w:ind w:firstLine="480" w:firstLineChars="200"/>
        <w:rPr>
          <w:rFonts w:hint="eastAsia"/>
          <w:highlight w:val="yellow"/>
          <w:lang w:val="en-US" w:eastAsia="zh-CN"/>
        </w:rPr>
      </w:pPr>
    </w:p>
    <w:p w14:paraId="3227667E">
      <w:pPr>
        <w:pStyle w:val="11"/>
        <w:spacing w:before="0" w:beforeAutospacing="0" w:after="0" w:afterAutospacing="0" w:line="315" w:lineRule="atLeast"/>
        <w:ind w:firstLine="480" w:firstLineChars="200"/>
        <w:rPr>
          <w:rFonts w:hint="eastAsia"/>
          <w:highlight w:val="yellow"/>
          <w:lang w:val="en-US" w:eastAsia="zh-CN"/>
        </w:rPr>
      </w:pPr>
    </w:p>
    <w:p w14:paraId="4C5CF233">
      <w:pPr>
        <w:pStyle w:val="11"/>
        <w:spacing w:before="0" w:beforeAutospacing="0" w:after="0" w:afterAutospacing="0" w:line="315" w:lineRule="atLeast"/>
        <w:ind w:firstLine="480" w:firstLineChars="200"/>
        <w:rPr>
          <w:rFonts w:hint="eastAsia"/>
          <w:highlight w:val="yellow"/>
          <w:lang w:val="en-US" w:eastAsia="zh-CN"/>
        </w:rPr>
      </w:pPr>
    </w:p>
    <w:p w14:paraId="14D7C7ED">
      <w:pPr>
        <w:pStyle w:val="11"/>
        <w:spacing w:before="0" w:beforeAutospacing="0" w:after="0" w:afterAutospacing="0" w:line="315" w:lineRule="atLeast"/>
        <w:ind w:firstLine="480" w:firstLineChars="200"/>
        <w:rPr>
          <w:rFonts w:hint="eastAsia"/>
          <w:highlight w:val="yellow"/>
          <w:lang w:val="en-US" w:eastAsia="zh-CN"/>
        </w:rPr>
      </w:pPr>
    </w:p>
    <w:p w14:paraId="53FB8603">
      <w:pPr>
        <w:pStyle w:val="11"/>
        <w:spacing w:before="0" w:beforeAutospacing="0" w:after="0" w:afterAutospacing="0" w:line="315" w:lineRule="atLeast"/>
        <w:ind w:firstLine="480" w:firstLineChars="200"/>
        <w:rPr>
          <w:rFonts w:hint="eastAsia"/>
          <w:highlight w:val="yellow"/>
          <w:lang w:val="en-US" w:eastAsia="zh-CN"/>
        </w:rPr>
      </w:pPr>
    </w:p>
    <w:p w14:paraId="1C113996">
      <w:pPr>
        <w:pStyle w:val="11"/>
        <w:spacing w:before="0" w:beforeAutospacing="0" w:after="0" w:afterAutospacing="0" w:line="315" w:lineRule="atLeast"/>
        <w:ind w:firstLine="480" w:firstLineChars="200"/>
        <w:rPr>
          <w:rFonts w:hint="eastAsia"/>
          <w:highlight w:val="yellow"/>
          <w:lang w:val="en-US" w:eastAsia="zh-CN"/>
        </w:rPr>
      </w:pPr>
    </w:p>
    <w:p w14:paraId="04546941">
      <w:pPr>
        <w:pStyle w:val="11"/>
        <w:spacing w:before="0" w:beforeAutospacing="0" w:after="0" w:afterAutospacing="0" w:line="315" w:lineRule="atLeast"/>
        <w:ind w:firstLine="480" w:firstLineChars="200"/>
        <w:rPr>
          <w:rFonts w:hint="eastAsia"/>
          <w:highlight w:val="yellow"/>
          <w:lang w:val="en-US" w:eastAsia="zh-CN"/>
        </w:rPr>
      </w:pPr>
    </w:p>
    <w:p w14:paraId="3F15E539">
      <w:pPr>
        <w:pStyle w:val="11"/>
        <w:spacing w:before="0" w:beforeAutospacing="0" w:after="0" w:afterAutospacing="0" w:line="315" w:lineRule="atLeast"/>
        <w:ind w:firstLine="480" w:firstLineChars="200"/>
        <w:rPr>
          <w:rFonts w:hint="eastAsia"/>
          <w:highlight w:val="yellow"/>
          <w:lang w:val="en-US" w:eastAsia="zh-CN"/>
        </w:rPr>
      </w:pPr>
    </w:p>
    <w:p w14:paraId="004D06F8">
      <w:pPr>
        <w:pStyle w:val="11"/>
        <w:spacing w:before="0" w:beforeAutospacing="0" w:after="0" w:afterAutospacing="0" w:line="315" w:lineRule="atLeast"/>
        <w:ind w:firstLine="480" w:firstLineChars="200"/>
        <w:rPr>
          <w:rFonts w:hint="eastAsia"/>
          <w:highlight w:val="yellow"/>
          <w:lang w:val="en-US" w:eastAsia="zh-CN"/>
        </w:rPr>
      </w:pPr>
    </w:p>
    <w:p w14:paraId="53F771B3">
      <w:pPr>
        <w:pStyle w:val="11"/>
        <w:spacing w:before="0" w:beforeAutospacing="0" w:after="0" w:afterAutospacing="0" w:line="315" w:lineRule="atLeast"/>
        <w:ind w:firstLine="480" w:firstLineChars="200"/>
        <w:rPr>
          <w:rFonts w:hint="eastAsia"/>
          <w:highlight w:val="yellow"/>
          <w:lang w:val="en-US" w:eastAsia="zh-CN"/>
        </w:rPr>
      </w:pPr>
    </w:p>
    <w:p w14:paraId="2530BF1C">
      <w:pPr>
        <w:pStyle w:val="11"/>
        <w:spacing w:before="0" w:beforeAutospacing="0" w:after="0" w:afterAutospacing="0" w:line="315" w:lineRule="atLeast"/>
        <w:ind w:firstLine="480" w:firstLineChars="200"/>
        <w:rPr>
          <w:rFonts w:hint="eastAsia"/>
          <w:highlight w:val="yellow"/>
          <w:lang w:val="en-US" w:eastAsia="zh-CN"/>
        </w:rPr>
      </w:pPr>
    </w:p>
    <w:p w14:paraId="4E05C428">
      <w:pPr>
        <w:pStyle w:val="11"/>
        <w:spacing w:before="0" w:beforeAutospacing="0" w:after="0" w:afterAutospacing="0" w:line="315" w:lineRule="atLeast"/>
        <w:ind w:firstLine="480" w:firstLineChars="200"/>
        <w:rPr>
          <w:rFonts w:hint="eastAsia"/>
          <w:highlight w:val="yellow"/>
          <w:lang w:val="en-US" w:eastAsia="zh-CN"/>
        </w:rPr>
      </w:pPr>
    </w:p>
    <w:p w14:paraId="4D621C9B">
      <w:pPr>
        <w:pStyle w:val="11"/>
        <w:spacing w:before="0" w:beforeAutospacing="0" w:after="0" w:afterAutospacing="0" w:line="315" w:lineRule="atLeast"/>
        <w:ind w:firstLine="480" w:firstLineChars="200"/>
        <w:rPr>
          <w:rFonts w:hint="eastAsia"/>
          <w:highlight w:val="yellow"/>
          <w:lang w:val="en-US" w:eastAsia="zh-CN"/>
        </w:rPr>
      </w:pPr>
    </w:p>
    <w:p w14:paraId="6839F092">
      <w:pPr>
        <w:pStyle w:val="11"/>
        <w:spacing w:before="0" w:beforeAutospacing="0" w:after="0" w:afterAutospacing="0" w:line="315" w:lineRule="atLeast"/>
        <w:ind w:firstLine="480" w:firstLineChars="200"/>
        <w:rPr>
          <w:rFonts w:hint="eastAsia"/>
          <w:highlight w:val="yellow"/>
          <w:lang w:val="en-US" w:eastAsia="zh-CN"/>
        </w:rPr>
      </w:pPr>
    </w:p>
    <w:p w14:paraId="06219EC4">
      <w:pPr>
        <w:pStyle w:val="11"/>
        <w:spacing w:before="0" w:beforeAutospacing="0" w:after="0" w:afterAutospacing="0" w:line="315" w:lineRule="atLeast"/>
        <w:ind w:firstLine="480" w:firstLineChars="200"/>
        <w:rPr>
          <w:rFonts w:hint="eastAsia"/>
          <w:highlight w:val="yellow"/>
          <w:lang w:val="en-US" w:eastAsia="zh-CN"/>
        </w:rPr>
      </w:pPr>
    </w:p>
    <w:p w14:paraId="18D03678">
      <w:pPr>
        <w:pStyle w:val="11"/>
        <w:spacing w:before="0" w:beforeAutospacing="0" w:after="0" w:afterAutospacing="0" w:line="315" w:lineRule="atLeast"/>
        <w:ind w:firstLine="480" w:firstLineChars="200"/>
        <w:rPr>
          <w:rFonts w:hint="eastAsia"/>
          <w:highlight w:val="yellow"/>
          <w:lang w:val="en-US" w:eastAsia="zh-CN"/>
        </w:rPr>
      </w:pPr>
    </w:p>
    <w:p w14:paraId="3EEC10D9">
      <w:pPr>
        <w:pStyle w:val="11"/>
        <w:spacing w:before="0" w:beforeAutospacing="0" w:after="0" w:afterAutospacing="0" w:line="315" w:lineRule="atLeast"/>
        <w:ind w:firstLine="480" w:firstLineChars="200"/>
        <w:rPr>
          <w:rFonts w:hint="eastAsia"/>
          <w:highlight w:val="yellow"/>
          <w:lang w:val="en-US" w:eastAsia="zh-CN"/>
        </w:rPr>
      </w:pPr>
    </w:p>
    <w:p w14:paraId="23186FB7">
      <w:pPr>
        <w:pStyle w:val="11"/>
        <w:spacing w:before="0" w:beforeAutospacing="0" w:after="0" w:afterAutospacing="0" w:line="315" w:lineRule="atLeast"/>
        <w:ind w:firstLine="480" w:firstLineChars="200"/>
        <w:rPr>
          <w:rFonts w:hint="eastAsia"/>
          <w:highlight w:val="yellow"/>
          <w:lang w:val="en-US" w:eastAsia="zh-CN"/>
        </w:rPr>
      </w:pPr>
    </w:p>
    <w:p w14:paraId="780003A9">
      <w:pPr>
        <w:pStyle w:val="11"/>
        <w:spacing w:before="0" w:beforeAutospacing="0" w:after="0" w:afterAutospacing="0" w:line="315" w:lineRule="atLeast"/>
        <w:ind w:firstLine="480" w:firstLineChars="200"/>
        <w:rPr>
          <w:rFonts w:hint="eastAsia"/>
          <w:lang w:val="en-US" w:eastAsia="zh-CN"/>
        </w:rPr>
      </w:pPr>
    </w:p>
    <w:p w14:paraId="5DC0DB7D">
      <w:pPr>
        <w:jc w:val="center"/>
        <w:rPr>
          <w:b/>
          <w:sz w:val="32"/>
          <w:szCs w:val="32"/>
        </w:rPr>
      </w:pPr>
      <w:r>
        <w:rPr>
          <w:rFonts w:hint="eastAsia"/>
          <w:b/>
          <w:sz w:val="32"/>
          <w:szCs w:val="32"/>
        </w:rPr>
        <w:t>一、投  标  书</w:t>
      </w:r>
    </w:p>
    <w:p w14:paraId="558174F6">
      <w:pPr>
        <w:rPr>
          <w:sz w:val="24"/>
        </w:rPr>
      </w:pPr>
    </w:p>
    <w:p w14:paraId="04F530E2">
      <w:pPr>
        <w:rPr>
          <w:rFonts w:ascii="仿宋_GB2312" w:eastAsia="仿宋_GB2312"/>
          <w:sz w:val="24"/>
        </w:rPr>
      </w:pPr>
      <w:r>
        <w:rPr>
          <w:rFonts w:hint="eastAsia" w:ascii="仿宋_GB2312" w:eastAsia="仿宋_GB2312"/>
          <w:sz w:val="24"/>
        </w:rPr>
        <w:t>致：福建省肿瘤医院</w:t>
      </w:r>
    </w:p>
    <w:p w14:paraId="084F8B78">
      <w:pPr>
        <w:rPr>
          <w:rFonts w:ascii="仿宋_GB2312" w:eastAsia="仿宋_GB2312"/>
          <w:sz w:val="24"/>
        </w:rPr>
      </w:pPr>
      <w:r>
        <w:rPr>
          <w:rFonts w:hint="eastAsia" w:ascii="仿宋_GB2312" w:eastAsia="仿宋_GB2312"/>
          <w:sz w:val="24"/>
        </w:rPr>
        <w:t>1、根据你方项目的投标须知、招标文件等内容，遵照《中华人民共和国招标投标法》等有关规定，经踏勘项目现场和研究上述招标文件的投标须知、合同条款、图纸、工程建设标准和工程量清单及其他有关文件后，我方愿以人民币（大写）</w:t>
      </w:r>
      <w:r>
        <w:rPr>
          <w:rFonts w:hint="eastAsia" w:ascii="仿宋_GB2312" w:eastAsia="仿宋_GB2312"/>
          <w:b/>
          <w:sz w:val="24"/>
          <w:u w:val="single"/>
        </w:rPr>
        <w:t xml:space="preserve">：      </w:t>
      </w:r>
      <w:r>
        <w:rPr>
          <w:rFonts w:hint="eastAsia" w:ascii="仿宋_GB2312" w:eastAsia="仿宋_GB2312"/>
          <w:sz w:val="24"/>
          <w:u w:val="single"/>
        </w:rPr>
        <w:t xml:space="preserve">  （小写：           ）</w:t>
      </w:r>
      <w:r>
        <w:rPr>
          <w:rFonts w:hint="eastAsia" w:ascii="仿宋_GB2312" w:eastAsia="仿宋_GB2312"/>
          <w:sz w:val="24"/>
        </w:rPr>
        <w:t>的投标报价并按上述图纸、合同条款、建设标准要求承包上述项目，并承担任何质量缺陷保修责任。</w:t>
      </w:r>
    </w:p>
    <w:p w14:paraId="606102FD">
      <w:pPr>
        <w:ind w:firstLine="456" w:firstLineChars="190"/>
        <w:rPr>
          <w:rFonts w:ascii="仿宋_GB2312" w:eastAsia="仿宋_GB2312"/>
          <w:sz w:val="24"/>
        </w:rPr>
      </w:pPr>
      <w:r>
        <w:rPr>
          <w:rFonts w:hint="eastAsia" w:ascii="仿宋_GB2312" w:eastAsia="仿宋_GB2312"/>
          <w:sz w:val="24"/>
        </w:rPr>
        <w:t>2、我方已详细审核全部招标文件及有关附件。</w:t>
      </w:r>
    </w:p>
    <w:p w14:paraId="41E1ADBB">
      <w:pPr>
        <w:ind w:firstLine="456" w:firstLineChars="190"/>
        <w:rPr>
          <w:rFonts w:ascii="仿宋_GB2312" w:eastAsia="仿宋_GB2312"/>
          <w:sz w:val="24"/>
        </w:rPr>
      </w:pPr>
      <w:r>
        <w:rPr>
          <w:rFonts w:hint="eastAsia" w:ascii="仿宋_GB2312" w:eastAsia="仿宋_GB2312"/>
          <w:sz w:val="24"/>
        </w:rPr>
        <w:t>3、一旦我方中标，我方保证质量达到</w:t>
      </w:r>
      <w:r>
        <w:rPr>
          <w:rFonts w:hint="eastAsia" w:ascii="仿宋_GB2312" w:eastAsia="仿宋_GB2312"/>
          <w:b/>
          <w:sz w:val="24"/>
          <w:u w:val="single"/>
        </w:rPr>
        <w:t>投标须知、投标文件等规定</w:t>
      </w:r>
      <w:r>
        <w:rPr>
          <w:rFonts w:hint="eastAsia" w:ascii="仿宋_GB2312" w:eastAsia="仿宋_GB2312"/>
          <w:sz w:val="24"/>
        </w:rPr>
        <w:t>标准。</w:t>
      </w:r>
    </w:p>
    <w:p w14:paraId="37197054">
      <w:pPr>
        <w:ind w:firstLine="456" w:firstLineChars="190"/>
        <w:rPr>
          <w:rFonts w:ascii="仿宋_GB2312" w:eastAsia="仿宋_GB2312"/>
          <w:sz w:val="24"/>
        </w:rPr>
      </w:pPr>
      <w:r>
        <w:rPr>
          <w:rFonts w:hint="eastAsia" w:ascii="仿宋_GB2312" w:eastAsia="仿宋_GB2312"/>
          <w:sz w:val="24"/>
        </w:rPr>
        <w:t>4、我方同意所提交的投标文件在招标文件的投标须知中规定的投标有效期内有效，在此期间内如果中标，我方将受此约束。</w:t>
      </w:r>
    </w:p>
    <w:p w14:paraId="7E28E271">
      <w:pPr>
        <w:ind w:firstLine="426"/>
        <w:rPr>
          <w:rFonts w:ascii="仿宋_GB2312" w:eastAsia="仿宋_GB2312"/>
          <w:sz w:val="24"/>
        </w:rPr>
      </w:pPr>
      <w:r>
        <w:rPr>
          <w:rFonts w:hint="eastAsia" w:ascii="仿宋_GB2312" w:eastAsia="仿宋_GB2312"/>
          <w:sz w:val="24"/>
        </w:rPr>
        <w:t>5、除非另外达成协议并生效，你方的中标通知书和本投标文件将成为约束双方的合同文件的组成部分。</w:t>
      </w:r>
    </w:p>
    <w:p w14:paraId="2F081C28">
      <w:pPr>
        <w:ind w:firstLine="480" w:firstLineChars="200"/>
        <w:rPr>
          <w:rFonts w:ascii="仿宋_GB2312" w:eastAsia="仿宋_GB2312"/>
          <w:sz w:val="24"/>
        </w:rPr>
      </w:pPr>
      <w:r>
        <w:rPr>
          <w:rFonts w:hint="eastAsia" w:ascii="仿宋_GB2312" w:eastAsia="仿宋_GB2312"/>
          <w:sz w:val="24"/>
        </w:rPr>
        <w:t>附件：报价清单</w:t>
      </w:r>
    </w:p>
    <w:p w14:paraId="7B5193BF">
      <w:pPr>
        <w:ind w:firstLine="2760" w:firstLineChars="1150"/>
        <w:rPr>
          <w:rFonts w:ascii="仿宋_GB2312" w:eastAsia="仿宋_GB2312"/>
          <w:sz w:val="24"/>
        </w:rPr>
      </w:pPr>
      <w:r>
        <w:rPr>
          <w:rFonts w:hint="eastAsia" w:ascii="仿宋_GB2312" w:eastAsia="仿宋_GB2312"/>
          <w:sz w:val="24"/>
        </w:rPr>
        <w:t xml:space="preserve">投标人（盖章）： </w:t>
      </w:r>
    </w:p>
    <w:p w14:paraId="01583503">
      <w:pPr>
        <w:rPr>
          <w:rFonts w:ascii="仿宋_GB2312" w:eastAsia="仿宋_GB2312"/>
          <w:sz w:val="24"/>
        </w:rPr>
      </w:pPr>
    </w:p>
    <w:p w14:paraId="564A6A19">
      <w:pPr>
        <w:ind w:firstLine="2760" w:firstLineChars="1150"/>
        <w:rPr>
          <w:rFonts w:ascii="仿宋_GB2312" w:eastAsia="仿宋_GB2312"/>
          <w:sz w:val="24"/>
        </w:rPr>
      </w:pPr>
      <w:r>
        <w:rPr>
          <w:rFonts w:hint="eastAsia" w:ascii="仿宋_GB2312" w:eastAsia="仿宋_GB2312"/>
          <w:sz w:val="24"/>
        </w:rPr>
        <w:t xml:space="preserve">单位地址： </w:t>
      </w:r>
    </w:p>
    <w:p w14:paraId="3C0BABF5">
      <w:pPr>
        <w:rPr>
          <w:rFonts w:ascii="仿宋_GB2312" w:eastAsia="仿宋_GB2312"/>
          <w:sz w:val="24"/>
        </w:rPr>
      </w:pPr>
    </w:p>
    <w:p w14:paraId="5E4B4FAD">
      <w:pPr>
        <w:ind w:firstLine="2760" w:firstLineChars="1150"/>
        <w:rPr>
          <w:rFonts w:ascii="仿宋_GB2312" w:eastAsia="仿宋_GB2312"/>
          <w:sz w:val="24"/>
        </w:rPr>
      </w:pPr>
      <w:r>
        <w:rPr>
          <w:rFonts w:hint="eastAsia" w:ascii="仿宋_GB2312" w:eastAsia="仿宋_GB2312"/>
          <w:sz w:val="24"/>
        </w:rPr>
        <w:t>法定代表人（签字或盖章）：</w:t>
      </w:r>
    </w:p>
    <w:p w14:paraId="2C5617EA">
      <w:pPr>
        <w:rPr>
          <w:rFonts w:ascii="仿宋_GB2312" w:eastAsia="仿宋_GB2312"/>
          <w:sz w:val="24"/>
        </w:rPr>
      </w:pPr>
    </w:p>
    <w:p w14:paraId="521BAE21">
      <w:pPr>
        <w:ind w:firstLine="2760" w:firstLineChars="1150"/>
        <w:rPr>
          <w:rFonts w:ascii="仿宋_GB2312" w:eastAsia="仿宋_GB2312"/>
          <w:sz w:val="24"/>
        </w:rPr>
      </w:pPr>
      <w:r>
        <w:rPr>
          <w:rFonts w:hint="eastAsia" w:ascii="仿宋_GB2312" w:eastAsia="仿宋_GB2312"/>
          <w:sz w:val="24"/>
        </w:rPr>
        <w:t xml:space="preserve">邮政编码：         电话：       传真：  </w:t>
      </w:r>
    </w:p>
    <w:p w14:paraId="7EA606D6">
      <w:pPr>
        <w:rPr>
          <w:rFonts w:ascii="仿宋_GB2312" w:eastAsia="仿宋_GB2312"/>
          <w:sz w:val="24"/>
        </w:rPr>
      </w:pPr>
    </w:p>
    <w:p w14:paraId="295ED7E4">
      <w:pPr>
        <w:ind w:firstLine="2760" w:firstLineChars="1150"/>
        <w:rPr>
          <w:rFonts w:ascii="仿宋_GB2312" w:eastAsia="仿宋_GB2312"/>
          <w:sz w:val="24"/>
        </w:rPr>
      </w:pPr>
      <w:r>
        <w:rPr>
          <w:rFonts w:hint="eastAsia" w:ascii="仿宋_GB2312" w:eastAsia="仿宋_GB2312"/>
          <w:sz w:val="24"/>
        </w:rPr>
        <w:t xml:space="preserve">开户银行名称： </w:t>
      </w:r>
    </w:p>
    <w:p w14:paraId="41B37B17">
      <w:pPr>
        <w:rPr>
          <w:rFonts w:ascii="仿宋_GB2312" w:eastAsia="仿宋_GB2312"/>
          <w:sz w:val="24"/>
        </w:rPr>
      </w:pPr>
    </w:p>
    <w:p w14:paraId="3BA0181D">
      <w:pPr>
        <w:ind w:firstLine="2760" w:firstLineChars="1150"/>
        <w:rPr>
          <w:rFonts w:ascii="仿宋_GB2312" w:eastAsia="仿宋_GB2312"/>
          <w:sz w:val="24"/>
        </w:rPr>
      </w:pPr>
      <w:r>
        <w:rPr>
          <w:rFonts w:hint="eastAsia" w:ascii="仿宋_GB2312" w:eastAsia="仿宋_GB2312"/>
          <w:sz w:val="24"/>
        </w:rPr>
        <w:t xml:space="preserve">开户银行帐号： </w:t>
      </w:r>
    </w:p>
    <w:p w14:paraId="6462956B">
      <w:pPr>
        <w:rPr>
          <w:rFonts w:ascii="仿宋_GB2312" w:eastAsia="仿宋_GB2312"/>
          <w:sz w:val="24"/>
        </w:rPr>
      </w:pPr>
    </w:p>
    <w:p w14:paraId="70908A81">
      <w:pPr>
        <w:ind w:firstLine="2880" w:firstLineChars="1200"/>
        <w:rPr>
          <w:rFonts w:ascii="仿宋_GB2312" w:eastAsia="仿宋_GB2312"/>
          <w:sz w:val="24"/>
        </w:rPr>
      </w:pPr>
      <w:r>
        <w:rPr>
          <w:rFonts w:hint="eastAsia" w:ascii="仿宋_GB2312" w:eastAsia="仿宋_GB2312"/>
          <w:sz w:val="24"/>
        </w:rPr>
        <w:t xml:space="preserve">开户银行地址： </w:t>
      </w:r>
    </w:p>
    <w:p w14:paraId="15157C7A">
      <w:pPr>
        <w:rPr>
          <w:rFonts w:ascii="仿宋_GB2312" w:eastAsia="仿宋_GB2312"/>
          <w:sz w:val="24"/>
        </w:rPr>
      </w:pPr>
    </w:p>
    <w:p w14:paraId="7974ECF8">
      <w:pPr>
        <w:ind w:firstLine="2760" w:firstLineChars="1150"/>
        <w:rPr>
          <w:rFonts w:ascii="仿宋_GB2312" w:eastAsia="仿宋_GB2312"/>
          <w:sz w:val="24"/>
        </w:rPr>
      </w:pPr>
      <w:r>
        <w:rPr>
          <w:rFonts w:hint="eastAsia" w:ascii="仿宋_GB2312" w:eastAsia="仿宋_GB2312"/>
          <w:sz w:val="24"/>
        </w:rPr>
        <w:t xml:space="preserve">开户银行电话： </w:t>
      </w:r>
    </w:p>
    <w:p w14:paraId="0C55197E">
      <w:pPr>
        <w:ind w:firstLine="600"/>
        <w:rPr>
          <w:rFonts w:ascii="仿宋_GB2312" w:eastAsia="仿宋_GB2312"/>
          <w:sz w:val="24"/>
        </w:rPr>
      </w:pPr>
    </w:p>
    <w:p w14:paraId="72028A25">
      <w:pPr>
        <w:ind w:firstLine="5160" w:firstLineChars="2150"/>
        <w:rPr>
          <w:rFonts w:ascii="仿宋_GB2312" w:eastAsia="仿宋_GB2312"/>
          <w:sz w:val="24"/>
        </w:rPr>
      </w:pPr>
      <w:r>
        <w:rPr>
          <w:rFonts w:hint="eastAsia" w:ascii="仿宋_GB2312" w:eastAsia="仿宋_GB2312"/>
          <w:sz w:val="24"/>
        </w:rPr>
        <w:t>日期：   年   月    日</w:t>
      </w:r>
    </w:p>
    <w:p w14:paraId="5F213B84">
      <w:pPr>
        <w:rPr>
          <w:sz w:val="24"/>
        </w:rPr>
      </w:pPr>
    </w:p>
    <w:p w14:paraId="630F52D1">
      <w:pPr>
        <w:jc w:val="center"/>
        <w:rPr>
          <w:sz w:val="24"/>
        </w:rPr>
      </w:pPr>
    </w:p>
    <w:p w14:paraId="46049ACF">
      <w:pPr>
        <w:jc w:val="center"/>
        <w:rPr>
          <w:sz w:val="24"/>
        </w:rPr>
      </w:pPr>
      <w:r>
        <w:rPr>
          <w:sz w:val="24"/>
        </w:rPr>
        <w:br w:type="page"/>
      </w:r>
    </w:p>
    <w:p w14:paraId="564C8193">
      <w:pPr>
        <w:jc w:val="center"/>
        <w:rPr>
          <w:b/>
          <w:sz w:val="32"/>
          <w:szCs w:val="32"/>
        </w:rPr>
      </w:pPr>
      <w:r>
        <w:rPr>
          <w:rFonts w:hint="eastAsia"/>
          <w:b/>
          <w:sz w:val="32"/>
          <w:szCs w:val="32"/>
        </w:rPr>
        <w:t>二、投标委托代表人资格证明书</w:t>
      </w:r>
    </w:p>
    <w:p w14:paraId="7455E4A4">
      <w:pPr>
        <w:rPr>
          <w:sz w:val="24"/>
        </w:rPr>
      </w:pPr>
    </w:p>
    <w:p w14:paraId="03D1B69D">
      <w:pPr>
        <w:spacing w:line="360" w:lineRule="auto"/>
        <w:rPr>
          <w:rFonts w:ascii="仿宋_GB2312" w:eastAsia="仿宋_GB2312"/>
          <w:sz w:val="24"/>
          <w:u w:val="single"/>
        </w:rPr>
      </w:pPr>
      <w:r>
        <w:rPr>
          <w:rFonts w:hint="eastAsia" w:ascii="仿宋_GB2312" w:eastAsia="仿宋_GB2312"/>
          <w:sz w:val="24"/>
        </w:rPr>
        <w:t>单位名称：</w:t>
      </w:r>
    </w:p>
    <w:p w14:paraId="5C979F09">
      <w:pPr>
        <w:spacing w:line="360" w:lineRule="auto"/>
        <w:rPr>
          <w:rFonts w:ascii="仿宋_GB2312" w:eastAsia="仿宋_GB2312"/>
          <w:sz w:val="24"/>
          <w:u w:val="single"/>
        </w:rPr>
      </w:pPr>
      <w:r>
        <w:rPr>
          <w:rFonts w:hint="eastAsia" w:ascii="仿宋_GB2312" w:eastAsia="仿宋_GB2312"/>
          <w:sz w:val="24"/>
        </w:rPr>
        <w:t>地址：</w:t>
      </w:r>
    </w:p>
    <w:p w14:paraId="3AAB6FBA">
      <w:pPr>
        <w:spacing w:line="360" w:lineRule="auto"/>
        <w:rPr>
          <w:rFonts w:ascii="仿宋_GB2312" w:eastAsia="仿宋_GB2312"/>
          <w:sz w:val="24"/>
        </w:rPr>
      </w:pPr>
      <w:r>
        <w:rPr>
          <w:rFonts w:hint="eastAsia" w:ascii="仿宋_GB2312" w:eastAsia="仿宋_GB2312"/>
          <w:sz w:val="24"/>
        </w:rPr>
        <w:t>姓名：    性别：年龄：  职务：   系委托代表人。为施工、竣工和保修项目，签署上述项目的投标文件、进行合同谈判、签署合同和处理与之有关的一切事务。</w:t>
      </w:r>
    </w:p>
    <w:p w14:paraId="44DA23E9">
      <w:pPr>
        <w:spacing w:line="360" w:lineRule="auto"/>
        <w:rPr>
          <w:rFonts w:ascii="仿宋_GB2312" w:eastAsia="仿宋_GB2312"/>
          <w:sz w:val="24"/>
        </w:rPr>
      </w:pPr>
    </w:p>
    <w:p w14:paraId="546A2AB3">
      <w:pPr>
        <w:spacing w:line="360" w:lineRule="auto"/>
        <w:ind w:firstLine="4680" w:firstLineChars="1950"/>
        <w:rPr>
          <w:rFonts w:ascii="仿宋_GB2312" w:eastAsia="仿宋_GB2312"/>
          <w:sz w:val="24"/>
        </w:rPr>
      </w:pPr>
      <w:r>
        <w:rPr>
          <w:rFonts w:hint="eastAsia" w:ascii="仿宋_GB2312" w:eastAsia="仿宋_GB2312"/>
          <w:sz w:val="24"/>
        </w:rPr>
        <w:t xml:space="preserve">投标人（盖章）：   </w:t>
      </w:r>
    </w:p>
    <w:p w14:paraId="0C00BC2B">
      <w:pPr>
        <w:spacing w:line="360" w:lineRule="auto"/>
        <w:ind w:firstLine="4920" w:firstLineChars="2050"/>
        <w:rPr>
          <w:rFonts w:ascii="仿宋_GB2312" w:eastAsia="仿宋_GB2312"/>
          <w:sz w:val="24"/>
        </w:rPr>
      </w:pPr>
      <w:r>
        <w:rPr>
          <w:rFonts w:hint="eastAsia" w:ascii="仿宋_GB2312" w:eastAsia="仿宋_GB2312"/>
          <w:sz w:val="24"/>
        </w:rPr>
        <w:t>年   月  日</w:t>
      </w:r>
    </w:p>
    <w:p w14:paraId="03846FA9">
      <w:pPr>
        <w:jc w:val="center"/>
        <w:rPr>
          <w:b/>
          <w:sz w:val="32"/>
          <w:szCs w:val="32"/>
        </w:rPr>
      </w:pPr>
      <w:r>
        <w:rPr>
          <w:sz w:val="24"/>
        </w:rPr>
        <w:br w:type="page"/>
      </w:r>
      <w:r>
        <w:rPr>
          <w:rFonts w:hint="eastAsia"/>
          <w:b/>
          <w:sz w:val="32"/>
          <w:szCs w:val="32"/>
        </w:rPr>
        <w:t>三、投标承诺书</w:t>
      </w:r>
    </w:p>
    <w:p w14:paraId="4B8BB9AC">
      <w:pPr>
        <w:tabs>
          <w:tab w:val="left" w:pos="5355"/>
        </w:tabs>
        <w:spacing w:before="100" w:beforeAutospacing="1" w:after="100" w:afterAutospacing="1" w:line="480" w:lineRule="auto"/>
        <w:ind w:firstLine="480" w:firstLineChars="200"/>
        <w:rPr>
          <w:rFonts w:ascii="仿宋_GB2312" w:hAnsi="宋体" w:eastAsia="仿宋_GB2312" w:cs="宋体"/>
          <w:bCs/>
          <w:sz w:val="24"/>
        </w:rPr>
      </w:pPr>
      <w:r>
        <w:rPr>
          <w:rFonts w:hint="eastAsia" w:ascii="仿宋_GB2312" w:hAnsi="宋体" w:eastAsia="仿宋_GB2312" w:cs="宋体"/>
          <w:bCs/>
          <w:sz w:val="24"/>
        </w:rPr>
        <w:t>我司承诺对项目的院内公开招标最终确定的综合评定最优结果表示认可，并承诺不会对福建省肿瘤医院在本项目招标过程中的工作模式以及终止本项目招标的可能提出疑议。</w:t>
      </w:r>
    </w:p>
    <w:p w14:paraId="4BF9BA41">
      <w:pPr>
        <w:tabs>
          <w:tab w:val="left" w:pos="5355"/>
        </w:tabs>
        <w:spacing w:before="100" w:beforeAutospacing="1" w:after="100" w:afterAutospacing="1" w:line="480" w:lineRule="auto"/>
        <w:ind w:firstLine="480" w:firstLineChars="200"/>
        <w:rPr>
          <w:rFonts w:ascii="仿宋_GB2312" w:hAnsi="宋体" w:eastAsia="仿宋_GB2312" w:cs="宋体"/>
          <w:sz w:val="24"/>
        </w:rPr>
      </w:pPr>
      <w:r>
        <w:rPr>
          <w:rFonts w:hint="eastAsia" w:ascii="仿宋_GB2312" w:hAnsi="宋体" w:eastAsia="仿宋_GB2312" w:cs="宋体"/>
          <w:bCs/>
          <w:sz w:val="24"/>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1543CC3D">
      <w:pPr>
        <w:tabs>
          <w:tab w:val="left" w:pos="5355"/>
        </w:tabs>
        <w:spacing w:before="100" w:beforeAutospacing="1" w:after="100" w:afterAutospacing="1" w:line="480" w:lineRule="auto"/>
        <w:ind w:firstLine="480" w:firstLineChars="200"/>
        <w:rPr>
          <w:rFonts w:ascii="仿宋_GB2312" w:hAnsi="宋体" w:eastAsia="仿宋_GB2312" w:cs="宋体"/>
          <w:sz w:val="24"/>
        </w:rPr>
      </w:pPr>
      <w:r>
        <w:rPr>
          <w:rFonts w:hint="eastAsia" w:ascii="仿宋_GB2312" w:hAnsi="宋体" w:eastAsia="仿宋_GB2312" w:cs="宋体"/>
          <w:bCs/>
          <w:sz w:val="24"/>
        </w:rPr>
        <w:t>我司承诺福建省肿瘤医院在授予我司合同时有权利增加补充相关内容。</w:t>
      </w:r>
    </w:p>
    <w:p w14:paraId="748D5DEA">
      <w:pPr>
        <w:tabs>
          <w:tab w:val="left" w:pos="5355"/>
        </w:tabs>
        <w:spacing w:before="100" w:beforeAutospacing="1" w:after="100" w:afterAutospacing="1" w:line="480" w:lineRule="auto"/>
        <w:rPr>
          <w:rFonts w:ascii="仿宋_GB2312" w:hAnsi="宋体" w:eastAsia="仿宋_GB2312" w:cs="宋体"/>
          <w:sz w:val="24"/>
        </w:rPr>
      </w:pPr>
      <w:r>
        <w:rPr>
          <w:rFonts w:hint="eastAsia" w:ascii="仿宋_GB2312" w:hAnsi="宋体" w:eastAsia="仿宋_GB2312" w:cs="宋体"/>
          <w:sz w:val="24"/>
        </w:rPr>
        <w:t>投标人名称（全称并加公章）：</w:t>
      </w:r>
    </w:p>
    <w:p w14:paraId="135A63B6">
      <w:pPr>
        <w:tabs>
          <w:tab w:val="left" w:pos="5355"/>
        </w:tabs>
        <w:spacing w:before="100" w:beforeAutospacing="1" w:after="100" w:afterAutospacing="1" w:line="480" w:lineRule="auto"/>
        <w:rPr>
          <w:rFonts w:ascii="仿宋_GB2312" w:hAnsi="宋体" w:eastAsia="仿宋_GB2312" w:cs="宋体"/>
          <w:sz w:val="24"/>
        </w:rPr>
      </w:pPr>
      <w:r>
        <w:rPr>
          <w:rFonts w:hint="eastAsia" w:ascii="仿宋_GB2312" w:hAnsi="宋体" w:eastAsia="仿宋_GB2312" w:cs="宋体"/>
          <w:sz w:val="24"/>
        </w:rPr>
        <w:t>投标人代表签字：</w:t>
      </w:r>
    </w:p>
    <w:p w14:paraId="305F2CA3">
      <w:pPr>
        <w:tabs>
          <w:tab w:val="left" w:pos="5355"/>
        </w:tabs>
        <w:spacing w:before="100" w:beforeAutospacing="1" w:after="100" w:afterAutospacing="1" w:line="480" w:lineRule="auto"/>
        <w:rPr>
          <w:b/>
          <w:sz w:val="24"/>
        </w:rPr>
      </w:pPr>
      <w:r>
        <w:rPr>
          <w:rFonts w:hint="eastAsia" w:ascii="仿宋_GB2312" w:hAnsi="宋体" w:eastAsia="仿宋_GB2312" w:cs="宋体"/>
          <w:sz w:val="24"/>
        </w:rPr>
        <w:t>日期：     年    月   日</w:t>
      </w:r>
    </w:p>
    <w:p w14:paraId="72D9AA46"/>
    <w:p w14:paraId="3D1E0318">
      <w:pPr>
        <w:spacing w:line="380" w:lineRule="exact"/>
        <w:rPr>
          <w:rFonts w:ascii="宋体" w:hAnsi="宋体" w:eastAsia="仿宋_GB2312"/>
          <w:sz w:val="24"/>
        </w:rPr>
      </w:pPr>
    </w:p>
    <w:p w14:paraId="4A67A697">
      <w:pPr>
        <w:spacing w:line="380" w:lineRule="exact"/>
        <w:rPr>
          <w:rFonts w:ascii="宋体" w:hAnsi="宋体" w:eastAsia="仿宋_GB2312"/>
          <w:sz w:val="24"/>
        </w:rPr>
      </w:pPr>
    </w:p>
    <w:p w14:paraId="1EFF1756">
      <w:pPr>
        <w:spacing w:line="380" w:lineRule="exact"/>
        <w:rPr>
          <w:rFonts w:ascii="宋体" w:hAnsi="宋体" w:eastAsia="仿宋_GB2312"/>
          <w:sz w:val="24"/>
        </w:rPr>
      </w:pPr>
    </w:p>
    <w:p w14:paraId="03EB7A43">
      <w:pPr>
        <w:spacing w:line="380" w:lineRule="exact"/>
        <w:rPr>
          <w:rFonts w:ascii="宋体" w:hAnsi="宋体" w:eastAsia="仿宋_GB2312"/>
          <w:sz w:val="24"/>
        </w:rPr>
      </w:pPr>
    </w:p>
    <w:p w14:paraId="5A99217A">
      <w:pPr>
        <w:spacing w:line="380" w:lineRule="exact"/>
        <w:rPr>
          <w:rFonts w:ascii="宋体" w:hAnsi="宋体" w:eastAsia="仿宋_GB2312"/>
          <w:sz w:val="24"/>
        </w:rPr>
      </w:pPr>
    </w:p>
    <w:p w14:paraId="4C120AF2">
      <w:pPr>
        <w:spacing w:line="380" w:lineRule="exact"/>
        <w:rPr>
          <w:rFonts w:ascii="宋体" w:hAnsi="宋体" w:eastAsia="仿宋_GB2312"/>
          <w:sz w:val="24"/>
        </w:rPr>
      </w:pPr>
    </w:p>
    <w:p w14:paraId="781B21BE">
      <w:pPr>
        <w:spacing w:line="380" w:lineRule="exact"/>
        <w:rPr>
          <w:rFonts w:ascii="宋体" w:hAnsi="宋体" w:eastAsia="仿宋_GB2312"/>
          <w:sz w:val="24"/>
        </w:rPr>
      </w:pPr>
    </w:p>
    <w:p w14:paraId="0C43C2ED">
      <w:pPr>
        <w:spacing w:line="380" w:lineRule="exact"/>
        <w:jc w:val="center"/>
        <w:rPr>
          <w:rFonts w:ascii="宋体" w:hAnsi="宋体"/>
          <w:b/>
          <w:bCs/>
          <w:sz w:val="32"/>
          <w:szCs w:val="32"/>
          <w:lang w:val="zh-CN"/>
        </w:rPr>
      </w:pPr>
      <w:r>
        <w:rPr>
          <w:rFonts w:hint="eastAsia" w:ascii="宋体" w:hAnsi="宋体"/>
          <w:b/>
          <w:sz w:val="32"/>
          <w:szCs w:val="32"/>
        </w:rPr>
        <w:t>四、投标方案</w:t>
      </w:r>
    </w:p>
    <w:p w14:paraId="7B190B63">
      <w:pPr>
        <w:spacing w:line="380" w:lineRule="exact"/>
        <w:ind w:firstLine="480" w:firstLineChars="200"/>
        <w:rPr>
          <w:rFonts w:ascii="宋体" w:hAnsi="宋体" w:eastAsia="仿宋_GB2312"/>
          <w:sz w:val="24"/>
        </w:rPr>
      </w:pPr>
    </w:p>
    <w:p w14:paraId="574FCE14">
      <w:pPr>
        <w:adjustRightInd/>
        <w:snapToGrid/>
        <w:spacing w:line="220" w:lineRule="atLeast"/>
        <w:rPr>
          <w:rFonts w:ascii="宋体" w:hAnsi="宋体" w:eastAsia="仿宋_GB2312"/>
          <w:sz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40196"/>
    <w:multiLevelType w:val="singleLevel"/>
    <w:tmpl w:val="D5640196"/>
    <w:lvl w:ilvl="0" w:tentative="0">
      <w:start w:val="1"/>
      <w:numFmt w:val="decimal"/>
      <w:suff w:val="nothing"/>
      <w:lvlText w:val="%1、"/>
      <w:lvlJc w:val="left"/>
    </w:lvl>
  </w:abstractNum>
  <w:abstractNum w:abstractNumId="1">
    <w:nsid w:val="E01D6DBB"/>
    <w:multiLevelType w:val="singleLevel"/>
    <w:tmpl w:val="E01D6DBB"/>
    <w:lvl w:ilvl="0" w:tentative="0">
      <w:start w:val="1"/>
      <w:numFmt w:val="chineseCounting"/>
      <w:suff w:val="nothing"/>
      <w:lvlText w:val="%1、"/>
      <w:lvlJc w:val="left"/>
      <w:rPr>
        <w:rFonts w:hint="eastAsia"/>
      </w:rPr>
    </w:lvl>
  </w:abstractNum>
  <w:abstractNum w:abstractNumId="2">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22D556A"/>
    <w:multiLevelType w:val="singleLevel"/>
    <w:tmpl w:val="522D556A"/>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jNjYzViNGQwNmIzZWU5ZmY5OGFhMzA5YTVmNTUifQ=="/>
  </w:docVars>
  <w:rsids>
    <w:rsidRoot w:val="00D31D50"/>
    <w:rsid w:val="000117C4"/>
    <w:rsid w:val="000258B4"/>
    <w:rsid w:val="000348F1"/>
    <w:rsid w:val="00051D9D"/>
    <w:rsid w:val="00072412"/>
    <w:rsid w:val="00081B08"/>
    <w:rsid w:val="00084E7A"/>
    <w:rsid w:val="00091D03"/>
    <w:rsid w:val="000A4F16"/>
    <w:rsid w:val="000B1D68"/>
    <w:rsid w:val="000C6FBF"/>
    <w:rsid w:val="001062BA"/>
    <w:rsid w:val="00112815"/>
    <w:rsid w:val="00120C32"/>
    <w:rsid w:val="00145ECF"/>
    <w:rsid w:val="001511C6"/>
    <w:rsid w:val="00165284"/>
    <w:rsid w:val="00177A76"/>
    <w:rsid w:val="001C5F1A"/>
    <w:rsid w:val="0021629E"/>
    <w:rsid w:val="00243D91"/>
    <w:rsid w:val="00263779"/>
    <w:rsid w:val="002909E2"/>
    <w:rsid w:val="00294055"/>
    <w:rsid w:val="002B6897"/>
    <w:rsid w:val="002C5058"/>
    <w:rsid w:val="002D5EC8"/>
    <w:rsid w:val="002D7794"/>
    <w:rsid w:val="002E5820"/>
    <w:rsid w:val="003202B3"/>
    <w:rsid w:val="00323B43"/>
    <w:rsid w:val="003470BD"/>
    <w:rsid w:val="003662B3"/>
    <w:rsid w:val="00391ADD"/>
    <w:rsid w:val="003974E6"/>
    <w:rsid w:val="003B7259"/>
    <w:rsid w:val="003C7AF6"/>
    <w:rsid w:val="003D37D8"/>
    <w:rsid w:val="003E0229"/>
    <w:rsid w:val="003E2E52"/>
    <w:rsid w:val="003E4CBA"/>
    <w:rsid w:val="003F3C16"/>
    <w:rsid w:val="004175DA"/>
    <w:rsid w:val="00421385"/>
    <w:rsid w:val="00426133"/>
    <w:rsid w:val="004270CB"/>
    <w:rsid w:val="00431969"/>
    <w:rsid w:val="004358AB"/>
    <w:rsid w:val="00437514"/>
    <w:rsid w:val="00461A45"/>
    <w:rsid w:val="00463981"/>
    <w:rsid w:val="00482F33"/>
    <w:rsid w:val="00484CEA"/>
    <w:rsid w:val="004861FD"/>
    <w:rsid w:val="00497D65"/>
    <w:rsid w:val="00497D98"/>
    <w:rsid w:val="004B2521"/>
    <w:rsid w:val="004E0D10"/>
    <w:rsid w:val="004E66D5"/>
    <w:rsid w:val="00500B1D"/>
    <w:rsid w:val="00501BDC"/>
    <w:rsid w:val="00504951"/>
    <w:rsid w:val="00522CA0"/>
    <w:rsid w:val="00540452"/>
    <w:rsid w:val="00582191"/>
    <w:rsid w:val="00597ACC"/>
    <w:rsid w:val="005B5007"/>
    <w:rsid w:val="005C0568"/>
    <w:rsid w:val="005D23DA"/>
    <w:rsid w:val="005E0365"/>
    <w:rsid w:val="00616947"/>
    <w:rsid w:val="00623566"/>
    <w:rsid w:val="00631CD4"/>
    <w:rsid w:val="006539CE"/>
    <w:rsid w:val="00661620"/>
    <w:rsid w:val="006B06B2"/>
    <w:rsid w:val="006C3A1D"/>
    <w:rsid w:val="006C7D3A"/>
    <w:rsid w:val="00707E79"/>
    <w:rsid w:val="0075638B"/>
    <w:rsid w:val="00764898"/>
    <w:rsid w:val="00766DD7"/>
    <w:rsid w:val="00773824"/>
    <w:rsid w:val="007821E8"/>
    <w:rsid w:val="007827E4"/>
    <w:rsid w:val="007A123B"/>
    <w:rsid w:val="007B52E6"/>
    <w:rsid w:val="007B7490"/>
    <w:rsid w:val="007C0D75"/>
    <w:rsid w:val="007C2696"/>
    <w:rsid w:val="007C50DB"/>
    <w:rsid w:val="007D2275"/>
    <w:rsid w:val="007D397A"/>
    <w:rsid w:val="007E7084"/>
    <w:rsid w:val="007F1214"/>
    <w:rsid w:val="00826861"/>
    <w:rsid w:val="00830EA4"/>
    <w:rsid w:val="00854F14"/>
    <w:rsid w:val="00887CAC"/>
    <w:rsid w:val="008913E4"/>
    <w:rsid w:val="008A3342"/>
    <w:rsid w:val="008A3C9C"/>
    <w:rsid w:val="008A41D7"/>
    <w:rsid w:val="008B42C6"/>
    <w:rsid w:val="008B4AAF"/>
    <w:rsid w:val="008B53D9"/>
    <w:rsid w:val="008B7726"/>
    <w:rsid w:val="008C0E0A"/>
    <w:rsid w:val="008F214B"/>
    <w:rsid w:val="008F30FF"/>
    <w:rsid w:val="0091663F"/>
    <w:rsid w:val="009171A5"/>
    <w:rsid w:val="009175D5"/>
    <w:rsid w:val="009317DB"/>
    <w:rsid w:val="00937395"/>
    <w:rsid w:val="009607D1"/>
    <w:rsid w:val="0096113E"/>
    <w:rsid w:val="009809F5"/>
    <w:rsid w:val="009863E1"/>
    <w:rsid w:val="009878F0"/>
    <w:rsid w:val="00987919"/>
    <w:rsid w:val="00987F84"/>
    <w:rsid w:val="009A3DD5"/>
    <w:rsid w:val="009A43CB"/>
    <w:rsid w:val="009A6156"/>
    <w:rsid w:val="009B171C"/>
    <w:rsid w:val="009B4A2A"/>
    <w:rsid w:val="009B6F48"/>
    <w:rsid w:val="009B7305"/>
    <w:rsid w:val="009C417B"/>
    <w:rsid w:val="009C69EF"/>
    <w:rsid w:val="009D6012"/>
    <w:rsid w:val="009D76AD"/>
    <w:rsid w:val="009D799C"/>
    <w:rsid w:val="009F1815"/>
    <w:rsid w:val="00A10647"/>
    <w:rsid w:val="00A30B71"/>
    <w:rsid w:val="00A35F8F"/>
    <w:rsid w:val="00A37C1C"/>
    <w:rsid w:val="00A65BA8"/>
    <w:rsid w:val="00A74D70"/>
    <w:rsid w:val="00A963F9"/>
    <w:rsid w:val="00AA004C"/>
    <w:rsid w:val="00AC3D32"/>
    <w:rsid w:val="00AE0803"/>
    <w:rsid w:val="00AF7E80"/>
    <w:rsid w:val="00B05610"/>
    <w:rsid w:val="00B07F3D"/>
    <w:rsid w:val="00B245EB"/>
    <w:rsid w:val="00B25AE3"/>
    <w:rsid w:val="00B46888"/>
    <w:rsid w:val="00B47F32"/>
    <w:rsid w:val="00B51ACE"/>
    <w:rsid w:val="00B70BA1"/>
    <w:rsid w:val="00BA45A9"/>
    <w:rsid w:val="00BB4302"/>
    <w:rsid w:val="00BB50E2"/>
    <w:rsid w:val="00BB5AB6"/>
    <w:rsid w:val="00BC657B"/>
    <w:rsid w:val="00C03632"/>
    <w:rsid w:val="00C177B1"/>
    <w:rsid w:val="00C7149D"/>
    <w:rsid w:val="00C7601E"/>
    <w:rsid w:val="00CA40E7"/>
    <w:rsid w:val="00CA438C"/>
    <w:rsid w:val="00CC4753"/>
    <w:rsid w:val="00CC5E88"/>
    <w:rsid w:val="00CD230F"/>
    <w:rsid w:val="00CD3E68"/>
    <w:rsid w:val="00CD5053"/>
    <w:rsid w:val="00CD5584"/>
    <w:rsid w:val="00CE796A"/>
    <w:rsid w:val="00CF0E0E"/>
    <w:rsid w:val="00CF69ED"/>
    <w:rsid w:val="00D13557"/>
    <w:rsid w:val="00D25185"/>
    <w:rsid w:val="00D31D50"/>
    <w:rsid w:val="00D32A7B"/>
    <w:rsid w:val="00D35790"/>
    <w:rsid w:val="00D429D3"/>
    <w:rsid w:val="00D51A1F"/>
    <w:rsid w:val="00D92BF8"/>
    <w:rsid w:val="00DA2241"/>
    <w:rsid w:val="00DA35FB"/>
    <w:rsid w:val="00DA3C4A"/>
    <w:rsid w:val="00DB51CF"/>
    <w:rsid w:val="00DC5488"/>
    <w:rsid w:val="00DF3F7A"/>
    <w:rsid w:val="00E23F38"/>
    <w:rsid w:val="00E356F4"/>
    <w:rsid w:val="00E529C7"/>
    <w:rsid w:val="00E779F0"/>
    <w:rsid w:val="00E80445"/>
    <w:rsid w:val="00E97990"/>
    <w:rsid w:val="00EB171C"/>
    <w:rsid w:val="00EB307F"/>
    <w:rsid w:val="00EE04DE"/>
    <w:rsid w:val="00EE2C71"/>
    <w:rsid w:val="00EF7ABB"/>
    <w:rsid w:val="00F112E2"/>
    <w:rsid w:val="00F2035A"/>
    <w:rsid w:val="00F30AD8"/>
    <w:rsid w:val="00F36F5E"/>
    <w:rsid w:val="00F63833"/>
    <w:rsid w:val="00F64073"/>
    <w:rsid w:val="00F67B76"/>
    <w:rsid w:val="00F7018C"/>
    <w:rsid w:val="00F93F93"/>
    <w:rsid w:val="00FA2246"/>
    <w:rsid w:val="00FD223F"/>
    <w:rsid w:val="00FE3535"/>
    <w:rsid w:val="00FE49CE"/>
    <w:rsid w:val="00FF06F1"/>
    <w:rsid w:val="00FF2678"/>
    <w:rsid w:val="02AE60E1"/>
    <w:rsid w:val="03AC2348"/>
    <w:rsid w:val="04D51F14"/>
    <w:rsid w:val="095C54BF"/>
    <w:rsid w:val="0E3D573B"/>
    <w:rsid w:val="14ED2505"/>
    <w:rsid w:val="1772678E"/>
    <w:rsid w:val="19A9325F"/>
    <w:rsid w:val="1A0A5159"/>
    <w:rsid w:val="1E0E6FDF"/>
    <w:rsid w:val="21EE7BA5"/>
    <w:rsid w:val="22080B8F"/>
    <w:rsid w:val="23DF4B04"/>
    <w:rsid w:val="252968C8"/>
    <w:rsid w:val="262A22CF"/>
    <w:rsid w:val="28350082"/>
    <w:rsid w:val="28E058BE"/>
    <w:rsid w:val="2A4E6B0B"/>
    <w:rsid w:val="2C5213DE"/>
    <w:rsid w:val="2C780E99"/>
    <w:rsid w:val="2CBF745C"/>
    <w:rsid w:val="2DA6280B"/>
    <w:rsid w:val="2E864BA1"/>
    <w:rsid w:val="2F1B1F1C"/>
    <w:rsid w:val="2F407445"/>
    <w:rsid w:val="303E438F"/>
    <w:rsid w:val="30622E72"/>
    <w:rsid w:val="320F28C4"/>
    <w:rsid w:val="33D46F96"/>
    <w:rsid w:val="37541156"/>
    <w:rsid w:val="3E076650"/>
    <w:rsid w:val="42F73E67"/>
    <w:rsid w:val="44A142A6"/>
    <w:rsid w:val="450A60D4"/>
    <w:rsid w:val="4AC7411F"/>
    <w:rsid w:val="4B7F0E9E"/>
    <w:rsid w:val="4F6E7346"/>
    <w:rsid w:val="50D83132"/>
    <w:rsid w:val="53820B12"/>
    <w:rsid w:val="53BC636D"/>
    <w:rsid w:val="565D002E"/>
    <w:rsid w:val="57882F2B"/>
    <w:rsid w:val="59FD5DAF"/>
    <w:rsid w:val="5C6914DA"/>
    <w:rsid w:val="5D6121B1"/>
    <w:rsid w:val="5DA06EF7"/>
    <w:rsid w:val="5DFF72D8"/>
    <w:rsid w:val="5E532442"/>
    <w:rsid w:val="5EC92704"/>
    <w:rsid w:val="617F2CB2"/>
    <w:rsid w:val="63696E29"/>
    <w:rsid w:val="637A5D7B"/>
    <w:rsid w:val="63E53D8E"/>
    <w:rsid w:val="66F74A7C"/>
    <w:rsid w:val="68C06E18"/>
    <w:rsid w:val="6BCB6A98"/>
    <w:rsid w:val="6CFC3CA5"/>
    <w:rsid w:val="6E17089C"/>
    <w:rsid w:val="6EBC36EB"/>
    <w:rsid w:val="6FD11419"/>
    <w:rsid w:val="70CB5E68"/>
    <w:rsid w:val="70E84C6C"/>
    <w:rsid w:val="722C0B88"/>
    <w:rsid w:val="7317488A"/>
    <w:rsid w:val="7497056D"/>
    <w:rsid w:val="75731A35"/>
    <w:rsid w:val="75B829CD"/>
    <w:rsid w:val="7B37772A"/>
    <w:rsid w:val="7D806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18"/>
    <w:qFormat/>
    <w:uiPriority w:val="9"/>
    <w:pPr>
      <w:adjustRightInd/>
      <w:snapToGrid/>
      <w:spacing w:before="100" w:beforeAutospacing="1" w:after="100" w:afterAutospacing="1"/>
      <w:outlineLvl w:val="1"/>
    </w:pPr>
    <w:rPr>
      <w:rFonts w:ascii="宋体" w:hAnsi="宋体" w:eastAsia="宋体" w:cs="宋体"/>
      <w:b/>
      <w:bCs/>
      <w:sz w:val="36"/>
      <w:szCs w:val="36"/>
    </w:rPr>
  </w:style>
  <w:style w:type="paragraph" w:styleId="4">
    <w:name w:val="heading 5"/>
    <w:basedOn w:val="1"/>
    <w:next w:val="1"/>
    <w:link w:val="19"/>
    <w:qFormat/>
    <w:uiPriority w:val="9"/>
    <w:pPr>
      <w:adjustRightInd/>
      <w:snapToGrid/>
      <w:spacing w:before="100" w:beforeAutospacing="1" w:after="100" w:afterAutospacing="1"/>
      <w:outlineLvl w:val="4"/>
    </w:pPr>
    <w:rPr>
      <w:rFonts w:ascii="宋体" w:hAnsi="宋体" w:eastAsia="宋体" w:cs="宋体"/>
      <w:b/>
      <w:bCs/>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Normal Indent"/>
    <w:basedOn w:val="1"/>
    <w:link w:val="21"/>
    <w:qFormat/>
    <w:uiPriority w:val="0"/>
    <w:pPr>
      <w:adjustRightInd/>
      <w:snapToGrid/>
      <w:spacing w:after="0"/>
      <w:ind w:firstLine="420"/>
    </w:pPr>
    <w:rPr>
      <w:rFonts w:ascii="Times New Roman" w:hAnsi="Times New Roman" w:eastAsia="宋体" w:cs="Times New Roman"/>
      <w:sz w:val="20"/>
      <w:szCs w:val="20"/>
    </w:rPr>
  </w:style>
  <w:style w:type="paragraph" w:styleId="6">
    <w:name w:val="annotation text"/>
    <w:basedOn w:val="1"/>
    <w:link w:val="25"/>
    <w:semiHidden/>
    <w:qFormat/>
    <w:uiPriority w:val="0"/>
    <w:pPr>
      <w:widowControl w:val="0"/>
      <w:adjustRightInd/>
      <w:snapToGrid/>
      <w:spacing w:after="0"/>
    </w:pPr>
    <w:rPr>
      <w:rFonts w:ascii="Times New Roman" w:hAnsi="Times New Roman" w:eastAsia="宋体" w:cs="Times New Roman"/>
      <w:kern w:val="2"/>
      <w:sz w:val="21"/>
      <w:szCs w:val="24"/>
    </w:rPr>
  </w:style>
  <w:style w:type="paragraph" w:styleId="7">
    <w:name w:val="Plain Text"/>
    <w:basedOn w:val="1"/>
    <w:link w:val="23"/>
    <w:semiHidden/>
    <w:unhideWhenUsed/>
    <w:qFormat/>
    <w:uiPriority w:val="99"/>
    <w:rPr>
      <w:rFonts w:ascii="宋体" w:hAnsi="Courier New" w:eastAsia="宋体" w:cs="Courier New"/>
      <w:sz w:val="21"/>
      <w:szCs w:val="21"/>
    </w:rPr>
  </w:style>
  <w:style w:type="paragraph" w:styleId="8">
    <w:name w:val="footer"/>
    <w:basedOn w:val="1"/>
    <w:link w:val="17"/>
    <w:semiHidden/>
    <w:unhideWhenUsed/>
    <w:qFormat/>
    <w:uiPriority w:val="99"/>
    <w:pPr>
      <w:tabs>
        <w:tab w:val="center" w:pos="4153"/>
        <w:tab w:val="right" w:pos="8306"/>
      </w:tabs>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10">
    <w:name w:val="HTML Preformatted"/>
    <w:basedOn w:val="1"/>
    <w:link w:val="2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11">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4">
    <w:name w:val="Strong"/>
    <w:basedOn w:val="13"/>
    <w:qFormat/>
    <w:uiPriority w:val="22"/>
    <w:rPr>
      <w:b/>
      <w:bCs/>
    </w:rPr>
  </w:style>
  <w:style w:type="character" w:styleId="15">
    <w:name w:val="Hyperlink"/>
    <w:basedOn w:val="13"/>
    <w:qFormat/>
    <w:uiPriority w:val="0"/>
    <w:rPr>
      <w:color w:val="0000FF" w:themeColor="hyperlink"/>
      <w:u w:val="single"/>
      <w14:textFill>
        <w14:solidFill>
          <w14:schemeClr w14:val="hlink"/>
        </w14:solidFill>
      </w14:textFill>
    </w:rPr>
  </w:style>
  <w:style w:type="character" w:customStyle="1" w:styleId="16">
    <w:name w:val="页眉 Char"/>
    <w:basedOn w:val="13"/>
    <w:link w:val="9"/>
    <w:semiHidden/>
    <w:qFormat/>
    <w:uiPriority w:val="99"/>
    <w:rPr>
      <w:rFonts w:ascii="Tahoma" w:hAnsi="Tahoma"/>
      <w:sz w:val="18"/>
      <w:szCs w:val="18"/>
    </w:rPr>
  </w:style>
  <w:style w:type="character" w:customStyle="1" w:styleId="17">
    <w:name w:val="页脚 Char"/>
    <w:basedOn w:val="13"/>
    <w:link w:val="8"/>
    <w:semiHidden/>
    <w:qFormat/>
    <w:uiPriority w:val="99"/>
    <w:rPr>
      <w:rFonts w:ascii="Tahoma" w:hAnsi="Tahoma"/>
      <w:sz w:val="18"/>
      <w:szCs w:val="18"/>
    </w:rPr>
  </w:style>
  <w:style w:type="character" w:customStyle="1" w:styleId="18">
    <w:name w:val="标题 2 Char"/>
    <w:basedOn w:val="13"/>
    <w:link w:val="3"/>
    <w:qFormat/>
    <w:uiPriority w:val="9"/>
    <w:rPr>
      <w:rFonts w:ascii="宋体" w:hAnsi="宋体" w:eastAsia="宋体" w:cs="宋体"/>
      <w:b/>
      <w:bCs/>
      <w:sz w:val="36"/>
      <w:szCs w:val="36"/>
    </w:rPr>
  </w:style>
  <w:style w:type="character" w:customStyle="1" w:styleId="19">
    <w:name w:val="标题 5 Char"/>
    <w:basedOn w:val="13"/>
    <w:link w:val="4"/>
    <w:qFormat/>
    <w:uiPriority w:val="9"/>
    <w:rPr>
      <w:rFonts w:ascii="宋体" w:hAnsi="宋体" w:eastAsia="宋体" w:cs="宋体"/>
      <w:b/>
      <w:bCs/>
      <w:sz w:val="20"/>
      <w:szCs w:val="20"/>
    </w:rPr>
  </w:style>
  <w:style w:type="character" w:customStyle="1" w:styleId="20">
    <w:name w:val="apple-converted-space"/>
    <w:basedOn w:val="13"/>
    <w:qFormat/>
    <w:uiPriority w:val="0"/>
  </w:style>
  <w:style w:type="character" w:customStyle="1" w:styleId="21">
    <w:name w:val="正文缩进 Char"/>
    <w:basedOn w:val="13"/>
    <w:link w:val="5"/>
    <w:qFormat/>
    <w:uiPriority w:val="0"/>
    <w:rPr>
      <w:rFonts w:ascii="Times New Roman" w:hAnsi="Times New Roman" w:eastAsia="宋体" w:cs="Times New Roman"/>
      <w:sz w:val="20"/>
      <w:szCs w:val="20"/>
    </w:rPr>
  </w:style>
  <w:style w:type="paragraph" w:customStyle="1" w:styleId="22">
    <w:name w:val="样式3"/>
    <w:basedOn w:val="7"/>
    <w:qFormat/>
    <w:uiPriority w:val="0"/>
    <w:pPr>
      <w:widowControl w:val="0"/>
      <w:adjustRightInd/>
      <w:snapToGrid/>
      <w:spacing w:after="0" w:line="0" w:lineRule="atLeast"/>
      <w:jc w:val="both"/>
      <w:outlineLvl w:val="0"/>
    </w:pPr>
    <w:rPr>
      <w:rFonts w:cs="Times New Roman"/>
      <w:kern w:val="2"/>
      <w:sz w:val="28"/>
      <w:szCs w:val="20"/>
    </w:rPr>
  </w:style>
  <w:style w:type="character" w:customStyle="1" w:styleId="23">
    <w:name w:val="纯文本 Char"/>
    <w:basedOn w:val="13"/>
    <w:link w:val="7"/>
    <w:semiHidden/>
    <w:qFormat/>
    <w:uiPriority w:val="99"/>
    <w:rPr>
      <w:rFonts w:ascii="宋体" w:hAnsi="Courier New" w:eastAsia="宋体" w:cs="Courier New"/>
      <w:sz w:val="21"/>
      <w:szCs w:val="21"/>
    </w:rPr>
  </w:style>
  <w:style w:type="character" w:customStyle="1" w:styleId="24">
    <w:name w:val="HTML 预设格式 Char"/>
    <w:basedOn w:val="13"/>
    <w:link w:val="10"/>
    <w:qFormat/>
    <w:uiPriority w:val="0"/>
    <w:rPr>
      <w:rFonts w:ascii="宋体" w:hAnsi="宋体" w:eastAsia="宋体" w:cs="宋体"/>
      <w:sz w:val="24"/>
      <w:szCs w:val="24"/>
    </w:rPr>
  </w:style>
  <w:style w:type="character" w:customStyle="1" w:styleId="25">
    <w:name w:val="批注文字 Char"/>
    <w:basedOn w:val="13"/>
    <w:link w:val="6"/>
    <w:semiHidden/>
    <w:qFormat/>
    <w:uiPriority w:val="0"/>
    <w:rPr>
      <w:rFonts w:ascii="Times New Roman" w:hAnsi="Times New Roman" w:eastAsia="宋体" w:cs="Times New Roman"/>
      <w:kern w:val="2"/>
      <w:sz w:val="21"/>
      <w:szCs w:val="24"/>
    </w:rPr>
  </w:style>
  <w:style w:type="paragraph" w:customStyle="1" w:styleId="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2138</Words>
  <Characters>2318</Characters>
  <Lines>32</Lines>
  <Paragraphs>9</Paragraphs>
  <TotalTime>10</TotalTime>
  <ScaleCrop>false</ScaleCrop>
  <LinksUpToDate>false</LinksUpToDate>
  <CharactersWithSpaces>2345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2024-04-19T07:58:00Z</dcterms:created>
  <dc:creator>Administrator</dc:creator>
  <cp:lastModifiedBy>miracle</cp:lastModifiedBy>
  <cp:lastPrinted>2024-10-18T08:25:00Z</cp:lastPrinted>
  <dcterms:modified xsi:type="dcterms:W3CDTF">2024-10-22T03:03:39Z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CEF4D604A1DF47F2925586E05878BFB6_13</vt:lpwstr>
  </property>
</Properties>
</file>