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>
      <w:pPr>
        <w:widowControl/>
        <w:shd w:val="clear" w:color="auto" w:fill="FFFFFF"/>
        <w:wordWrap/>
        <w:adjustRightInd w:val="0"/>
        <w:snapToGrid w:val="0"/>
        <w:spacing w:beforeLines="50"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外科楼能源管理系统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0" w:line="56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36" w:lineRule="auto"/>
        <w:ind w:left="1260" w:leftChars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陈工、金工</w:t>
      </w: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line="240" w:lineRule="auto"/>
        <w:ind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W w:w="9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3885"/>
        <w:gridCol w:w="1307"/>
        <w:gridCol w:w="2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Ansi="宋体"/>
                <w:lang w:val="en-US" w:eastAsia="zh-CN"/>
              </w:rPr>
              <w:t>合同包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Ansi="宋体"/>
                <w:lang w:val="en-US" w:eastAsia="zh-CN"/>
              </w:rPr>
              <w:t>名 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Ansi="宋体"/>
                <w:lang w:val="en-US" w:eastAsia="zh-CN"/>
              </w:rPr>
              <w:t>数量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Ansi="宋体"/>
                <w:lang w:val="en-US" w:eastAsia="zh-CN"/>
              </w:rPr>
              <w:t>预算（万元）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lang w:val="en-US" w:eastAsia="zh-CN"/>
              </w:rPr>
              <w:t>（一）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医院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外科楼能源管理系统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135</w:t>
            </w:r>
          </w:p>
        </w:tc>
      </w:tr>
    </w:tbl>
    <w:p>
      <w:pPr>
        <w:keepNext/>
        <w:widowControl/>
        <w:numPr>
          <w:numId w:val="0"/>
        </w:numPr>
        <w:shd w:val="clear" w:color="auto" w:fill="FFFFFF"/>
        <w:autoSpaceDE w:val="0"/>
        <w:spacing w:before="120" w:after="120"/>
        <w:ind w:leftChars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pStyle w:val="1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tbl>
      <w:tblPr>
        <w:tblW w:w="9024" w:type="dxa"/>
        <w:tblInd w:w="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917"/>
        <w:gridCol w:w="6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</w:t>
            </w:r>
          </w:p>
        </w:tc>
        <w:tc>
          <w:tcPr>
            <w:tcW w:w="612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技术参数要求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智慧后勤基础信息管理系统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1)数据管理：建立能源数据管理标准，保障各能源数据一致性、可靠性、权威性；提供各能源数据开放共享机制，降低医院能源数据共享成本，可实现业务系统快速集成接入，实现互联互通;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2)数据资产治理：建立医院能源运营数据资产中心，有效提高数据质量与安全；实现医院数据分析应用；</w:t>
            </w:r>
          </w:p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3)指标监控及问题识别服务：建立能源数据指标体系，统一指标口径，明确指标价值和分析建议;</w:t>
            </w:r>
          </w:p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4)可构建多级数据模型，形成统一的数据标准，并提供数据服务</w:t>
            </w:r>
          </w:p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5)实现标准的数据模型和基础表，并可进行自主配置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智慧物联中台管理系统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可支持OPC协议、MMIJK协议、MQTT或者HTTP等协议接入系统，且无需额外代码开发。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可配置如越线告警配置、开关量告警、事件告警：等多种告警类型的配置。</w:t>
            </w:r>
          </w:p>
          <w:p>
            <w:pPr>
              <w:widowControl/>
              <w:numPr>
                <w:numId w:val="0"/>
              </w:numPr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对医院物联网设备数据进行统一的采集和标准化，对物联网设备进行统一管理和告警处理，快速低成本接入各类第三方数据（支持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各类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物联协议对接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系统对接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设备管理业务模块可实现与本院OA对接。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能源管理业务模块可与本院现有变配电系统对接。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能源管理模块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可实现能源计量、能源对标、能耗异常检测和排查、科室能耗分摊、节能考核等功能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能源计量，包括提供能流平衡功能，能耗分析功能，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根据历史的能源消耗情况来预测未来能耗消耗情况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，提供报告的实时在线预览、导出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能耗对标，提供对标库和能耗对标功能，支持配置对标体系。系统支持调整不同能源的电折算系数，并进行能耗对标分析，统计标杆值和实际能耗数据。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耗异常检测和排查，包括在统一入口查看当前项目各类能源异常信息，包含实时异常、昨日异常、边界异常，提供告警信息查询、导出相关能力，支持对告警信息进行单条、批量的操作（确认、处理、撤销、查看详情）处理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科室能耗分摊统计与考核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，包括提供科室考核功能，可查看科室考核结果，完成科室考核动作，科室分摊报表功能，可灵活配置医院科室分摊策略，导出分摊结果报表。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三相导轨式电能表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额定电压:3*220/380V;RS485接口;精度等级≥0.5S级;数量约为155台。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互感器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开口;精度≥0.5级;数量约为410个。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水表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冷水表;DN≥150;数量约为4台。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冷水表;DN≥50;数量约为5台。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冷水表;DN≥80;数量约为4台。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热水表;DN≥80;数量约为2台.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辅材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包含通讯线、网线、光纤、JDG管、开关电源等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设备管理模块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1.后勤一站式管理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后勤一站式可实现后勤服务一站式响应，支持将医院各后勤科室部门所提供的服务集中到统一服务中心。实现包含设备报修、运送、投诉回访、医废、被服等多个服务内容的统一管理和高效及时响应。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可实现后勤考核指标集中展示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2.人员管理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人员管理，可实现人员信息、人员排班、人员考勤统一管理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3.后勤设备管理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后勤设备台账管理，设备台账包括设备信息、运维标准、运维台账、设备分析等，可实现展示设备的基本信息情况、基本信息总览，支持展示设备在运维过程中，缺陷故障检修标准、保养标准、巡检标准等运维台账，支持对设备进行分析，包括故障占比、故障趋势、成本趋势、异常趋势等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后勤设备巡检管理，包括可实现巡检任务查看、处理；巡检统计和分析，支持完成率、巡检总数、设备报修数、设备异常数关键KPI展示，支持巡检总数、已完成、未完成切换到这些KPI时，看到该KPI下的所有数据；巡检查询，用于查询巡检任务完成情况，支持根据日期查询巡检任务，支持根据巡检任务状态查询所需任务等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后勤设备维修管理,包括网页端打开页面，并提供工单关闭、修改等管理功能。报修下单界面可接入一站式工单中心进行统一的工单管理，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提供配套的APP，以满足医护患自行下单、班组人员接单、管理人员处置工单等需求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后勤设备保养管理，实现保养任务查看、处理，保养工单的统计和分析以及保养工作的多种查询。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维修优化，提供报修分析、故障统计、工单统计、巡检统计及分析等多种数据分析功能，支持自动生成后勤月报，用于统计本院当月的维修业务、巡检业务、保养业务、耗材、异常数据，从多种方面对业务进行分析；更直观地看到本院设备运维的情况。</w:t>
            </w:r>
          </w:p>
        </w:tc>
      </w:tr>
    </w:tbl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5"/>
        </w:numPr>
        <w:ind w:left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pStyle w:val="13"/>
        <w:numPr>
          <w:numId w:val="0"/>
        </w:numPr>
        <w:spacing w:before="0" w:beforeAutospacing="0" w:after="0" w:afterAutospacing="0" w:line="48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1、应结合我院实际医疗及管理需要，对系统进行客户化修改，包括但不限于结合医院实际管理需求；同时不得使用主管部门禁止使用的操作系统及数据库。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国家《医院信息系统功能规范》第十二条以及国家信息化建设审计要求，至少必须提供数据字典、数据结构与流程、操作使用手册、系统维护手册。必须提供完整的总体设计报告、需求分析说明书、概要设计说明书、详细设计说明书、数据字典、数据结构与流程、测试报告、操作使用手册、系统维护手册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据具备各数据表基础数据项的完整性，诸如：数据的创建人、创建时间、最后修改人、最后修改时间等；具备应用系统数据修改痕迹管理，各项核心业务的数据修改必须以日志形式保存，数据修改日志至少必须有“数据基础信息”、“修改前数据”、“修改后数据”、“修改人”、“修改时间”五个部分核心数据项组成；具备应用系统可以手动设置本地日志的保存目录，并自动必须定期清除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本项目为交钥匙工程，本项目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与各业务系统及设备的数据接口由中标人自行负责。本项目涉及院内现有各业务系统接口的，采购人不再向中标人支付接口费用。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应提供与医院HIS，电子病历、危急值平台、报告平台、麻醉耗材、患者360（含HIS360、CDR360）等系统无缝集成接口，符合电子病历6级、医院的互联互通5级、智慧医院4级的建设要求，上述各评级不涉及本系统的功能可以按本次招标内容为准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备与集成平台通过统一的数据接口，实现浏览各检查报告具备通过系统集成平台按照国家、院内、院级数据集标准进行数据交换。具备多模式下数据交换接口的切换管理，诸如：集成平台出现故障时，可切换成应用系统服务接口模式或数据表模式，集成平台恢复时，可重新切换成集成平台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年内免费实施政策性国家、省市各平台的数据接口、数据上传等服务及免费实施国密改造、信创国产化，包括但不限于：福建省卫健委居民健康综合服务平台、福建省检查检验结果互联互通互认平台、福建省卫健委多码融合项目等，产生相应指标，推送至医疗平台接口中（涉及其他系统，应与其他系统配合实施）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所有的工作流程节点（诸如：工作环节名称、患者ID、操作人、操作时间等）必须发送至全院工作流程管理平台进行接收、存储；本项目所涉及的影像文件（照片、图像等），则必须与全院统一影像数据中台实现交互，全部由全院统一影像数据中台进行管理（接收、存储、调阅等），原则上本项目服务器及应用系统不保存所涉及的影像文件（照片、图像等）；各具体接口技术方案待实施时由采购人提供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本项目系统需符合《信息安全技术网络安全等级保护基本要求》GB/T22239-2019（三级）要求（下文简称：三级等保2.0），并在三级等保2.0评审中协助完成本系统评审工作。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与医院现有CA数字签名功能实现对接，满足医院各法规需要。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若需接入医院APP(实现院外移动端查询)，则中标人应提供H5接口，并支付相应接口费用（不超过3万元），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是否需接入医院APP以项目验收时采购人需求为准。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在本项目系统软件使用及维保有效期内，本项目软件在每个使用科室使用的终端数量不受限制，数据不得加密，不得使用加密狗、打印加密、功能加密等任何软件使用约束。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本项目软件部分按总价进行报价，不能以安装工作站数量进行报价。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本项目系统需完成旧系统中的历史数据导入，旧系统中非自动产生的数据（如手工输入值等），在新系统中可不体现或以默认值体现。若有涉及接口费用，由中标方负责，采购人不再向中标人支付接口费用。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本项目软件版面色彩、风格等应按医院要求设计制作；软件标题只能出现医院logo及系统名称，不能出现公司名称，公司名称允许在帮助（help）的关于（about）中出现。具体版面另行通知。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3"/>
        <w:numPr>
          <w:ilvl w:val="0"/>
          <w:numId w:val="6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由于本项目与诊疗无关，必须支持国产化操作系统、数据库及前端国产化工作站，暂时未能实现的，后续政策要求时不再另行收费，并在投标文件中出具承诺函。</w:t>
      </w:r>
    </w:p>
    <w:p>
      <w:pPr>
        <w:pStyle w:val="10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numId w:val="0"/>
        </w:numPr>
        <w:wordWrap/>
        <w:snapToGrid/>
        <w:spacing w:before="0" w:after="0" w:line="315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报名请携带加盖公章的项目文件回执单、营业执照复印件、公司简介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提供设备彩页、相关三证等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autoSpaceDN w:val="0"/>
        <w:spacing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autoSpaceDN w:val="0"/>
        <w:spacing w:line="42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1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sectPr>
      <w:footerReference r:id="rId4" w:type="default"/>
      <w:pgSz w:w="12240" w:h="15840"/>
      <w:pgMar w:top="1134" w:right="1587" w:bottom="1134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Quad Arrow 1025" o:spid="_x0000_s1025" style="position:absolute;left:0;margin-top:0pt;height:12.8pt;width:5.3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739466811">
    <w:nsid w:val="A348F23B"/>
    <w:multiLevelType w:val="singleLevel"/>
    <w:tmpl w:val="A348F23B"/>
    <w:lvl w:ilvl="0" w:tentative="1">
      <w:start w:val="1"/>
      <w:numFmt w:val="decimal"/>
      <w:suff w:val="nothing"/>
      <w:lvlText w:val="%1）"/>
      <w:lvlJc w:val="left"/>
    </w:lvl>
  </w:abstractNum>
  <w:abstractNum w:abstractNumId="1067835569">
    <w:nsid w:val="3FA5E0B1"/>
    <w:multiLevelType w:val="singleLevel"/>
    <w:tmpl w:val="3FA5E0B1"/>
    <w:lvl w:ilvl="0" w:tentative="1">
      <w:start w:val="1"/>
      <w:numFmt w:val="decimal"/>
      <w:suff w:val="nothing"/>
      <w:lvlText w:val="%1）"/>
      <w:lvlJc w:val="left"/>
    </w:lvl>
  </w:abstractNum>
  <w:abstractNum w:abstractNumId="1675063653">
    <w:nsid w:val="63D77165"/>
    <w:multiLevelType w:val="singleLevel"/>
    <w:tmpl w:val="63D77165"/>
    <w:lvl w:ilvl="0" w:tentative="1">
      <w:start w:val="2"/>
      <w:numFmt w:val="decimal"/>
      <w:suff w:val="nothing"/>
      <w:lvlText w:val="%1、"/>
      <w:lvlJc w:val="left"/>
    </w:lvl>
  </w:abstractNum>
  <w:abstractNum w:abstractNumId="2560627605">
    <w:nsid w:val="98A01395"/>
    <w:multiLevelType w:val="singleLevel"/>
    <w:tmpl w:val="98A01395"/>
    <w:lvl w:ilvl="0" w:tentative="1">
      <w:start w:val="1"/>
      <w:numFmt w:val="decimal"/>
      <w:suff w:val="nothing"/>
      <w:lvlText w:val="%1）"/>
      <w:lvlJc w:val="left"/>
    </w:lvl>
  </w:abstractNum>
  <w:abstractNum w:abstractNumId="1398085122">
    <w:nsid w:val="53551602"/>
    <w:multiLevelType w:val="singleLevel"/>
    <w:tmpl w:val="53551602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614502214">
    <w:nsid w:val="9BD62346"/>
    <w:multiLevelType w:val="singleLevel"/>
    <w:tmpl w:val="9BD62346"/>
    <w:lvl w:ilvl="0" w:tentative="1">
      <w:start w:val="1"/>
      <w:numFmt w:val="decimal"/>
      <w:suff w:val="nothing"/>
      <w:lvlText w:val="%1）"/>
      <w:lvlJc w:val="left"/>
    </w:lvl>
  </w:abstractNum>
  <w:num w:numId="1">
    <w:abstractNumId w:val="2614502214"/>
  </w:num>
  <w:num w:numId="2">
    <w:abstractNumId w:val="1067835569"/>
  </w:num>
  <w:num w:numId="3">
    <w:abstractNumId w:val="2560627605"/>
  </w:num>
  <w:num w:numId="4">
    <w:abstractNumId w:val="2739466811"/>
  </w:num>
  <w:num w:numId="5">
    <w:abstractNumId w:val="1398085122"/>
  </w:num>
  <w:num w:numId="6">
    <w:abstractNumId w:val="16750636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jFlODlkNWNmMGRjMDc3MzM2MWRmODgzMDIwZjljODk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0"/>
    <w:rPr>
      <w:b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1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font11"/>
    <w:basedOn w:val="8"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font21"/>
    <w:basedOn w:val="8"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6">
    <w:name w:val="font31"/>
    <w:basedOn w:val="8"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7">
    <w:name w:val="font71"/>
    <w:basedOn w:val="8"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1849</Words>
  <Characters>2122</Characters>
  <Lines>0</Lines>
  <Paragraphs>0</Paragraphs>
  <TotalTime>0</TotalTime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2023-05-31T06:42:00Z</dcterms:created>
  <dc:creator>Admin</dc:creator>
  <cp:lastModifiedBy>Admin</cp:lastModifiedBy>
  <cp:lastPrinted>2023-06-21T07:45:00Z</cp:lastPrinted>
  <dcterms:modified xsi:type="dcterms:W3CDTF">2024-10-09T03:37:49Z</dcterms:modified>
  <dc:title>设备科：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C1A693E8CEF84263B01CA7613243A92C_13</vt:lpwstr>
  </property>
</Properties>
</file>